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75C" w:rsidRPr="0094475C" w:rsidRDefault="0094475C" w:rsidP="0094475C">
      <w:pPr>
        <w:tabs>
          <w:tab w:val="left" w:pos="180"/>
          <w:tab w:val="left" w:pos="270"/>
          <w:tab w:val="left" w:pos="993"/>
        </w:tabs>
        <w:spacing w:after="0" w:line="240" w:lineRule="auto"/>
        <w:jc w:val="center"/>
        <w:rPr>
          <w:rFonts w:ascii="Arial" w:hAnsi="Arial" w:cs="Arial"/>
          <w:b/>
          <w:lang w:val="en-US"/>
        </w:rPr>
      </w:pPr>
      <w:r>
        <w:rPr>
          <w:rFonts w:ascii="Arial" w:hAnsi="Arial" w:cs="Arial"/>
          <w:b/>
          <w:lang w:val="en-US"/>
        </w:rPr>
        <w:t xml:space="preserve">Project: </w:t>
      </w:r>
      <w:r w:rsidRPr="0094475C">
        <w:rPr>
          <w:rFonts w:ascii="Arial" w:hAnsi="Arial" w:cs="Arial"/>
          <w:b/>
          <w:lang w:val="en-US"/>
        </w:rPr>
        <w:t>European Union Border Assistance Mission for Moldova and Ukraine</w:t>
      </w:r>
    </w:p>
    <w:p w:rsidR="0094475C" w:rsidRPr="0094475C" w:rsidRDefault="0094475C" w:rsidP="0094475C">
      <w:pPr>
        <w:tabs>
          <w:tab w:val="left" w:pos="180"/>
          <w:tab w:val="left" w:pos="270"/>
          <w:tab w:val="left" w:pos="993"/>
        </w:tabs>
        <w:spacing w:after="0" w:line="240" w:lineRule="auto"/>
        <w:jc w:val="center"/>
        <w:rPr>
          <w:rFonts w:ascii="Arial" w:hAnsi="Arial" w:cs="Arial"/>
          <w:lang w:val="en-US"/>
        </w:rPr>
      </w:pPr>
    </w:p>
    <w:p w:rsidR="0094475C" w:rsidRPr="0094475C" w:rsidRDefault="0094475C" w:rsidP="0094475C">
      <w:pPr>
        <w:tabs>
          <w:tab w:val="left" w:pos="180"/>
          <w:tab w:val="left" w:pos="270"/>
          <w:tab w:val="left" w:pos="993"/>
        </w:tabs>
        <w:spacing w:after="0" w:line="240" w:lineRule="auto"/>
        <w:jc w:val="center"/>
        <w:rPr>
          <w:rFonts w:ascii="Arial" w:hAnsi="Arial" w:cs="Arial"/>
          <w:b/>
          <w:lang w:val="en-US"/>
        </w:rPr>
      </w:pPr>
      <w:proofErr w:type="gramStart"/>
      <w:r w:rsidRPr="0094475C">
        <w:rPr>
          <w:rFonts w:ascii="Arial" w:hAnsi="Arial" w:cs="Arial"/>
          <w:b/>
          <w:lang w:val="en-US"/>
        </w:rPr>
        <w:t>IFB No.</w:t>
      </w:r>
      <w:proofErr w:type="gramEnd"/>
      <w:r w:rsidRPr="0094475C">
        <w:rPr>
          <w:rFonts w:ascii="Arial" w:hAnsi="Arial" w:cs="Arial"/>
          <w:b/>
          <w:lang w:val="en-US"/>
        </w:rPr>
        <w:t xml:space="preserve"> :  UA</w:t>
      </w:r>
      <w:r>
        <w:rPr>
          <w:rFonts w:ascii="Arial" w:hAnsi="Arial" w:cs="Arial"/>
          <w:b/>
          <w:lang w:val="en-US"/>
        </w:rPr>
        <w:t>20</w:t>
      </w:r>
      <w:r w:rsidRPr="0094475C">
        <w:rPr>
          <w:rFonts w:ascii="Arial" w:hAnsi="Arial" w:cs="Arial"/>
          <w:b/>
          <w:lang w:val="en-US"/>
        </w:rPr>
        <w:t>-201</w:t>
      </w:r>
      <w:r>
        <w:rPr>
          <w:rFonts w:ascii="Arial" w:hAnsi="Arial" w:cs="Arial"/>
          <w:b/>
          <w:lang w:val="en-US"/>
        </w:rPr>
        <w:t>5</w:t>
      </w:r>
      <w:r w:rsidRPr="0094475C">
        <w:rPr>
          <w:rFonts w:ascii="Arial" w:hAnsi="Arial" w:cs="Arial"/>
          <w:b/>
          <w:lang w:val="en-US"/>
        </w:rPr>
        <w:t>-</w:t>
      </w:r>
      <w:r>
        <w:rPr>
          <w:rFonts w:ascii="Arial" w:hAnsi="Arial" w:cs="Arial"/>
          <w:b/>
          <w:lang w:val="en-US"/>
        </w:rPr>
        <w:t>021</w:t>
      </w:r>
      <w:r w:rsidRPr="0094475C">
        <w:rPr>
          <w:rFonts w:ascii="Arial" w:hAnsi="Arial" w:cs="Arial"/>
          <w:b/>
          <w:lang w:val="en-US"/>
        </w:rPr>
        <w:t xml:space="preserve"> (S</w:t>
      </w:r>
      <w:r w:rsidRPr="0094475C">
        <w:rPr>
          <w:rFonts w:ascii="Arial" w:hAnsi="Arial" w:cs="Arial"/>
          <w:b/>
          <w:color w:val="000000"/>
          <w:lang w:val="en-US"/>
        </w:rPr>
        <w:t xml:space="preserve">upply and </w:t>
      </w:r>
      <w:r w:rsidRPr="0094475C">
        <w:rPr>
          <w:rFonts w:ascii="Arial" w:hAnsi="Arial" w:cs="Arial"/>
          <w:b/>
          <w:lang w:val="en-US"/>
        </w:rPr>
        <w:t>delivery of Servers and computer equipment for European Union Border Assistance Mission for Moldova and Ukraine)</w:t>
      </w:r>
    </w:p>
    <w:p w:rsidR="0094475C" w:rsidRDefault="0094475C" w:rsidP="00636D31">
      <w:pPr>
        <w:tabs>
          <w:tab w:val="left" w:pos="180"/>
          <w:tab w:val="left" w:pos="270"/>
          <w:tab w:val="left" w:pos="993"/>
        </w:tabs>
        <w:spacing w:after="0" w:line="240" w:lineRule="auto"/>
        <w:jc w:val="both"/>
        <w:rPr>
          <w:rFonts w:ascii="Arial" w:hAnsi="Arial" w:cs="Arial"/>
          <w:lang w:val="en-US"/>
        </w:rPr>
      </w:pPr>
    </w:p>
    <w:p w:rsidR="0094475C" w:rsidRDefault="0094475C" w:rsidP="0094475C">
      <w:pPr>
        <w:spacing w:after="0" w:line="240" w:lineRule="auto"/>
        <w:rPr>
          <w:rFonts w:ascii="Arial" w:hAnsi="Arial" w:cs="Arial"/>
          <w:lang w:val="en-US"/>
        </w:rPr>
      </w:pPr>
    </w:p>
    <w:p w:rsidR="0094475C" w:rsidRDefault="0094475C" w:rsidP="0094475C">
      <w:pPr>
        <w:spacing w:after="0" w:line="240" w:lineRule="auto"/>
        <w:rPr>
          <w:rFonts w:ascii="Arial" w:hAnsi="Arial" w:cs="Arial"/>
          <w:lang w:val="en-US"/>
        </w:rPr>
      </w:pPr>
      <w:r w:rsidRPr="0094475C">
        <w:rPr>
          <w:rFonts w:ascii="Arial" w:hAnsi="Arial" w:cs="Arial"/>
          <w:lang w:val="en-US"/>
        </w:rPr>
        <w:t>Bid Bulletin No.</w:t>
      </w:r>
      <w:r>
        <w:rPr>
          <w:rFonts w:ascii="Arial" w:hAnsi="Arial" w:cs="Arial"/>
          <w:lang w:val="en-US"/>
        </w:rPr>
        <w:t>1</w:t>
      </w:r>
      <w:r w:rsidRPr="0094475C">
        <w:rPr>
          <w:rFonts w:ascii="Arial" w:hAnsi="Arial" w:cs="Arial"/>
          <w:lang w:val="en-US"/>
        </w:rPr>
        <w:t xml:space="preserve"> </w:t>
      </w:r>
    </w:p>
    <w:p w:rsidR="0094475C" w:rsidRPr="0094475C" w:rsidRDefault="0094475C" w:rsidP="0094475C">
      <w:pPr>
        <w:spacing w:after="0" w:line="240" w:lineRule="auto"/>
        <w:rPr>
          <w:rFonts w:ascii="Arial" w:hAnsi="Arial" w:cs="Arial"/>
          <w:lang w:val="en-US"/>
        </w:rPr>
      </w:pPr>
    </w:p>
    <w:p w:rsidR="0094475C" w:rsidRPr="0094475C" w:rsidRDefault="0094475C" w:rsidP="0094475C">
      <w:pPr>
        <w:spacing w:after="0" w:line="240" w:lineRule="auto"/>
        <w:rPr>
          <w:rFonts w:ascii="Arial" w:hAnsi="Arial" w:cs="Arial"/>
          <w:lang w:val="en-US"/>
        </w:rPr>
      </w:pPr>
      <w:r w:rsidRPr="0094475C">
        <w:rPr>
          <w:rFonts w:ascii="Arial" w:hAnsi="Arial" w:cs="Arial"/>
          <w:lang w:val="en-US"/>
        </w:rPr>
        <w:t xml:space="preserve">Date: </w:t>
      </w:r>
      <w:r>
        <w:rPr>
          <w:rFonts w:ascii="Arial" w:hAnsi="Arial" w:cs="Arial"/>
          <w:lang w:val="en-US"/>
        </w:rPr>
        <w:t>May</w:t>
      </w:r>
      <w:r w:rsidRPr="0094475C">
        <w:rPr>
          <w:rFonts w:ascii="Arial" w:hAnsi="Arial" w:cs="Arial"/>
          <w:lang w:val="en-US"/>
        </w:rPr>
        <w:t xml:space="preserve"> </w:t>
      </w:r>
      <w:r>
        <w:rPr>
          <w:rFonts w:ascii="Arial" w:hAnsi="Arial" w:cs="Arial"/>
          <w:lang w:val="en-US"/>
        </w:rPr>
        <w:t>2</w:t>
      </w:r>
      <w:r w:rsidRPr="0094475C">
        <w:rPr>
          <w:rFonts w:ascii="Arial" w:hAnsi="Arial" w:cs="Arial"/>
          <w:lang w:val="en-US"/>
        </w:rPr>
        <w:t xml:space="preserve">1, 2015 </w:t>
      </w:r>
    </w:p>
    <w:p w:rsidR="0094475C" w:rsidRPr="0094475C" w:rsidRDefault="0094475C" w:rsidP="0094475C">
      <w:pPr>
        <w:tabs>
          <w:tab w:val="left" w:pos="180"/>
          <w:tab w:val="left" w:pos="270"/>
          <w:tab w:val="left" w:pos="993"/>
        </w:tabs>
        <w:spacing w:after="0" w:line="240" w:lineRule="auto"/>
        <w:jc w:val="both"/>
        <w:rPr>
          <w:rFonts w:ascii="Arial" w:hAnsi="Arial" w:cs="Arial"/>
          <w:lang w:val="en-US"/>
        </w:rPr>
      </w:pPr>
    </w:p>
    <w:p w:rsidR="00956A76" w:rsidRPr="0094475C" w:rsidRDefault="0094475C" w:rsidP="0094475C">
      <w:pPr>
        <w:tabs>
          <w:tab w:val="left" w:pos="180"/>
          <w:tab w:val="left" w:pos="270"/>
          <w:tab w:val="left" w:pos="993"/>
        </w:tabs>
        <w:spacing w:after="0" w:line="240" w:lineRule="auto"/>
        <w:jc w:val="both"/>
        <w:rPr>
          <w:rFonts w:ascii="Arial" w:hAnsi="Arial" w:cs="Arial"/>
          <w:lang w:val="en-US"/>
        </w:rPr>
      </w:pPr>
      <w:r>
        <w:rPr>
          <w:rFonts w:ascii="Arial" w:hAnsi="Arial" w:cs="Arial"/>
          <w:lang w:val="en-US"/>
        </w:rPr>
        <w:t>Responses</w:t>
      </w:r>
      <w:r w:rsidR="00956A76" w:rsidRPr="0094475C">
        <w:rPr>
          <w:rFonts w:ascii="Arial" w:hAnsi="Arial" w:cs="Arial"/>
          <w:lang w:val="en-US"/>
        </w:rPr>
        <w:t xml:space="preserve"> and comments </w:t>
      </w:r>
      <w:r w:rsidR="008A7F05" w:rsidRPr="0094475C">
        <w:rPr>
          <w:rFonts w:ascii="Arial" w:hAnsi="Arial" w:cs="Arial"/>
          <w:lang w:val="en-US"/>
        </w:rPr>
        <w:t>to</w:t>
      </w:r>
      <w:r w:rsidR="00956A76" w:rsidRPr="0094475C">
        <w:rPr>
          <w:rFonts w:ascii="Arial" w:hAnsi="Arial" w:cs="Arial"/>
          <w:lang w:val="en-US"/>
        </w:rPr>
        <w:t xml:space="preserve"> general and technical</w:t>
      </w:r>
      <w:r w:rsidR="00636D31" w:rsidRPr="0094475C">
        <w:rPr>
          <w:rFonts w:ascii="Arial" w:hAnsi="Arial" w:cs="Arial"/>
          <w:lang w:val="en-US"/>
        </w:rPr>
        <w:t xml:space="preserve"> requirements </w:t>
      </w:r>
      <w:r w:rsidRPr="0094475C">
        <w:rPr>
          <w:rFonts w:ascii="Arial" w:hAnsi="Arial" w:cs="Arial"/>
          <w:lang w:val="en-US"/>
        </w:rPr>
        <w:t xml:space="preserve">with regard to the </w:t>
      </w:r>
      <w:r>
        <w:rPr>
          <w:rFonts w:ascii="Arial" w:hAnsi="Arial" w:cs="Arial"/>
          <w:lang w:val="en-US"/>
        </w:rPr>
        <w:t xml:space="preserve">                        </w:t>
      </w:r>
      <w:r w:rsidRPr="0094475C">
        <w:rPr>
          <w:rFonts w:ascii="Arial" w:hAnsi="Arial" w:cs="Arial"/>
          <w:lang w:val="en-US"/>
        </w:rPr>
        <w:t xml:space="preserve">Bid </w:t>
      </w:r>
      <w:r w:rsidR="00636D31" w:rsidRPr="0094475C">
        <w:rPr>
          <w:rFonts w:ascii="Arial" w:hAnsi="Arial" w:cs="Arial"/>
          <w:lang w:val="en-US"/>
        </w:rPr>
        <w:t>UA20-2015-021</w:t>
      </w:r>
    </w:p>
    <w:p w:rsidR="00636D31" w:rsidRPr="00636D31" w:rsidRDefault="00636D31" w:rsidP="00636D31">
      <w:pPr>
        <w:tabs>
          <w:tab w:val="left" w:pos="180"/>
          <w:tab w:val="left" w:pos="270"/>
          <w:tab w:val="left" w:pos="993"/>
        </w:tabs>
        <w:spacing w:after="0" w:line="240" w:lineRule="auto"/>
        <w:jc w:val="both"/>
        <w:rPr>
          <w:rFonts w:ascii="Arial" w:hAnsi="Arial" w:cs="Arial"/>
          <w:lang w:val="en-US"/>
        </w:rPr>
      </w:pPr>
    </w:p>
    <w:p w:rsidR="00636D31" w:rsidRPr="00636D31" w:rsidRDefault="00636D31" w:rsidP="00636D31">
      <w:pPr>
        <w:tabs>
          <w:tab w:val="left" w:pos="180"/>
          <w:tab w:val="left" w:pos="270"/>
          <w:tab w:val="left" w:pos="993"/>
        </w:tabs>
        <w:spacing w:after="0" w:line="240" w:lineRule="auto"/>
        <w:jc w:val="both"/>
        <w:rPr>
          <w:rFonts w:ascii="Arial" w:hAnsi="Arial" w:cs="Arial"/>
          <w:lang w:val="en-US"/>
        </w:rPr>
      </w:pPr>
      <w:r w:rsidRPr="00636D31">
        <w:rPr>
          <w:rFonts w:ascii="Arial" w:hAnsi="Arial" w:cs="Arial"/>
          <w:lang w:val="en-US"/>
        </w:rPr>
        <w:t xml:space="preserve">1. Item Code </w:t>
      </w:r>
      <w:r w:rsidRPr="00636D31">
        <w:rPr>
          <w:rFonts w:ascii="Arial" w:hAnsi="Arial" w:cs="Arial"/>
          <w:b/>
          <w:bCs/>
          <w:lang w:val="en-US"/>
        </w:rPr>
        <w:t>UA20-2015-021.5</w:t>
      </w:r>
      <w:r w:rsidRPr="00636D31">
        <w:rPr>
          <w:rFonts w:ascii="Arial" w:hAnsi="Arial" w:cs="Arial"/>
          <w:lang w:val="en-US"/>
        </w:rPr>
        <w:t>, item description: Memory DDR3</w:t>
      </w:r>
    </w:p>
    <w:p w:rsidR="00636D31" w:rsidRDefault="00636D31" w:rsidP="00636D31">
      <w:pPr>
        <w:tabs>
          <w:tab w:val="left" w:pos="180"/>
          <w:tab w:val="left" w:pos="270"/>
          <w:tab w:val="left" w:pos="993"/>
        </w:tabs>
        <w:spacing w:after="0" w:line="240" w:lineRule="auto"/>
        <w:jc w:val="both"/>
        <w:rPr>
          <w:rFonts w:ascii="Arial" w:hAnsi="Arial" w:cs="Arial"/>
          <w:lang w:val="uk-UA"/>
        </w:rPr>
      </w:pPr>
      <w:r w:rsidRPr="00636D31">
        <w:rPr>
          <w:rFonts w:ascii="Arial" w:hAnsi="Arial" w:cs="Arial"/>
          <w:lang w:val="en-US"/>
        </w:rPr>
        <w:t>With what device (server or desktop) this memory is supposed to be used? Could you please name the model of this device?</w:t>
      </w:r>
    </w:p>
    <w:p w:rsidR="00506CF3" w:rsidRDefault="00506CF3" w:rsidP="008A7F05">
      <w:pPr>
        <w:tabs>
          <w:tab w:val="left" w:pos="180"/>
          <w:tab w:val="left" w:pos="270"/>
          <w:tab w:val="left" w:pos="993"/>
        </w:tabs>
        <w:spacing w:after="0" w:line="240" w:lineRule="auto"/>
        <w:jc w:val="both"/>
        <w:rPr>
          <w:rFonts w:ascii="Arial" w:hAnsi="Arial" w:cs="Arial"/>
          <w:b/>
          <w:i/>
          <w:lang w:val="uk-UA"/>
        </w:rPr>
      </w:pPr>
    </w:p>
    <w:p w:rsidR="00636D31" w:rsidRPr="008A7F05" w:rsidRDefault="0094475C" w:rsidP="008A7F05">
      <w:pPr>
        <w:tabs>
          <w:tab w:val="left" w:pos="180"/>
          <w:tab w:val="left" w:pos="270"/>
          <w:tab w:val="left" w:pos="993"/>
        </w:tabs>
        <w:spacing w:after="0" w:line="240" w:lineRule="auto"/>
        <w:jc w:val="both"/>
        <w:rPr>
          <w:rFonts w:ascii="Arial" w:hAnsi="Arial" w:cs="Arial"/>
          <w:b/>
          <w:i/>
          <w:lang w:val="en-US"/>
        </w:rPr>
      </w:pPr>
      <w:r>
        <w:rPr>
          <w:rFonts w:ascii="Arial" w:hAnsi="Arial" w:cs="Arial"/>
          <w:b/>
          <w:i/>
          <w:lang w:val="en-US"/>
        </w:rPr>
        <w:t>IOM Response</w:t>
      </w:r>
      <w:r w:rsidR="00636D31" w:rsidRPr="008A7F05">
        <w:rPr>
          <w:rFonts w:ascii="Arial" w:hAnsi="Arial" w:cs="Arial"/>
          <w:b/>
          <w:i/>
          <w:lang w:val="en-US"/>
        </w:rPr>
        <w:t xml:space="preserve">: Desktop Dell </w:t>
      </w:r>
      <w:proofErr w:type="spellStart"/>
      <w:r w:rsidR="00636D31" w:rsidRPr="008A7F05">
        <w:rPr>
          <w:rFonts w:ascii="Arial" w:hAnsi="Arial" w:cs="Arial"/>
          <w:b/>
          <w:i/>
          <w:lang w:val="en-US"/>
        </w:rPr>
        <w:t>Optiplex</w:t>
      </w:r>
      <w:proofErr w:type="spellEnd"/>
      <w:r w:rsidR="00636D31" w:rsidRPr="008A7F05">
        <w:rPr>
          <w:rFonts w:ascii="Arial" w:hAnsi="Arial" w:cs="Arial"/>
          <w:b/>
          <w:i/>
          <w:lang w:val="en-US"/>
        </w:rPr>
        <w:t xml:space="preserve"> 980/990</w:t>
      </w:r>
    </w:p>
    <w:p w:rsidR="00636D31" w:rsidRDefault="00636D31" w:rsidP="00636D31">
      <w:pPr>
        <w:tabs>
          <w:tab w:val="left" w:pos="180"/>
          <w:tab w:val="left" w:pos="270"/>
          <w:tab w:val="left" w:pos="993"/>
        </w:tabs>
        <w:spacing w:after="0" w:line="240" w:lineRule="auto"/>
        <w:jc w:val="both"/>
        <w:rPr>
          <w:rFonts w:ascii="Arial" w:hAnsi="Arial" w:cs="Arial"/>
          <w:lang w:val="en-US"/>
        </w:rPr>
      </w:pPr>
    </w:p>
    <w:p w:rsidR="00636D31" w:rsidRPr="00636D31" w:rsidRDefault="00636D31" w:rsidP="00636D31">
      <w:pPr>
        <w:tabs>
          <w:tab w:val="left" w:pos="180"/>
          <w:tab w:val="left" w:pos="270"/>
          <w:tab w:val="left" w:pos="993"/>
        </w:tabs>
        <w:spacing w:after="0" w:line="240" w:lineRule="auto"/>
        <w:jc w:val="both"/>
        <w:rPr>
          <w:rFonts w:ascii="Arial" w:hAnsi="Arial" w:cs="Arial"/>
          <w:lang w:val="en-US"/>
        </w:rPr>
      </w:pPr>
    </w:p>
    <w:p w:rsidR="00636D31" w:rsidRPr="00636D31" w:rsidRDefault="00636D31" w:rsidP="00636D31">
      <w:pPr>
        <w:tabs>
          <w:tab w:val="left" w:pos="180"/>
          <w:tab w:val="left" w:pos="270"/>
          <w:tab w:val="left" w:pos="993"/>
        </w:tabs>
        <w:spacing w:after="0" w:line="240" w:lineRule="auto"/>
        <w:jc w:val="both"/>
        <w:rPr>
          <w:rFonts w:ascii="Arial" w:hAnsi="Arial" w:cs="Arial"/>
          <w:lang w:val="en-US"/>
        </w:rPr>
      </w:pPr>
      <w:r w:rsidRPr="00636D31">
        <w:rPr>
          <w:rFonts w:ascii="Arial" w:hAnsi="Arial" w:cs="Arial"/>
          <w:lang w:val="en-US"/>
        </w:rPr>
        <w:t xml:space="preserve">2. Item Code </w:t>
      </w:r>
      <w:r w:rsidRPr="00636D31">
        <w:rPr>
          <w:rFonts w:ascii="Arial" w:hAnsi="Arial" w:cs="Arial"/>
          <w:b/>
          <w:bCs/>
          <w:lang w:val="en-US"/>
        </w:rPr>
        <w:t>UA20-2015-021.7</w:t>
      </w:r>
      <w:r w:rsidRPr="00636D31">
        <w:rPr>
          <w:rFonts w:ascii="Arial" w:hAnsi="Arial" w:cs="Arial"/>
          <w:lang w:val="en-US"/>
        </w:rPr>
        <w:t>, item description: Hard Disk Drive</w:t>
      </w:r>
      <w:r w:rsidRPr="00636D31">
        <w:rPr>
          <w:rFonts w:ascii="Arial" w:hAnsi="Arial" w:cs="Arial"/>
          <w:lang w:val="en-US"/>
        </w:rPr>
        <w:br/>
      </w:r>
      <w:proofErr w:type="gramStart"/>
      <w:r w:rsidR="00506CF3">
        <w:rPr>
          <w:rFonts w:ascii="Arial" w:hAnsi="Arial" w:cs="Arial"/>
          <w:lang w:val="en-US"/>
        </w:rPr>
        <w:t>C</w:t>
      </w:r>
      <w:r w:rsidRPr="00636D31">
        <w:rPr>
          <w:rFonts w:ascii="Arial" w:hAnsi="Arial" w:cs="Arial"/>
          <w:lang w:val="en-US"/>
        </w:rPr>
        <w:t>ould</w:t>
      </w:r>
      <w:proofErr w:type="gramEnd"/>
      <w:r w:rsidRPr="00636D31">
        <w:rPr>
          <w:rFonts w:ascii="Arial" w:hAnsi="Arial" w:cs="Arial"/>
          <w:lang w:val="en-US"/>
        </w:rPr>
        <w:t xml:space="preserve"> you please name the model of device where this HDD is supposed to be used?</w:t>
      </w:r>
    </w:p>
    <w:p w:rsidR="00956A76" w:rsidRPr="00506CF3" w:rsidRDefault="00956A76" w:rsidP="00636D31">
      <w:pPr>
        <w:tabs>
          <w:tab w:val="left" w:pos="180"/>
          <w:tab w:val="left" w:pos="270"/>
          <w:tab w:val="left" w:pos="993"/>
        </w:tabs>
        <w:spacing w:after="0" w:line="240" w:lineRule="auto"/>
        <w:jc w:val="both"/>
        <w:rPr>
          <w:rFonts w:ascii="Arial" w:hAnsi="Arial" w:cs="Arial"/>
          <w:lang w:val="en-US"/>
        </w:rPr>
      </w:pPr>
    </w:p>
    <w:p w:rsidR="00636D31" w:rsidRPr="008A7F05" w:rsidRDefault="0094475C" w:rsidP="008A7F05">
      <w:pPr>
        <w:tabs>
          <w:tab w:val="left" w:pos="180"/>
          <w:tab w:val="left" w:pos="270"/>
          <w:tab w:val="left" w:pos="993"/>
        </w:tabs>
        <w:spacing w:after="0" w:line="240" w:lineRule="auto"/>
        <w:jc w:val="both"/>
        <w:rPr>
          <w:rFonts w:ascii="Arial" w:hAnsi="Arial" w:cs="Arial"/>
          <w:b/>
          <w:i/>
          <w:lang w:val="en-US"/>
        </w:rPr>
      </w:pPr>
      <w:r>
        <w:rPr>
          <w:rFonts w:ascii="Arial" w:hAnsi="Arial" w:cs="Arial"/>
          <w:b/>
          <w:i/>
          <w:lang w:val="en-US"/>
        </w:rPr>
        <w:t>IOM Response</w:t>
      </w:r>
      <w:r w:rsidRPr="008A7F05">
        <w:rPr>
          <w:rFonts w:ascii="Arial" w:hAnsi="Arial" w:cs="Arial"/>
          <w:b/>
          <w:i/>
          <w:lang w:val="en-US"/>
        </w:rPr>
        <w:t>:</w:t>
      </w:r>
      <w:r w:rsidR="008A7F05" w:rsidRPr="008A7F05">
        <w:rPr>
          <w:rFonts w:ascii="Arial" w:hAnsi="Arial" w:cs="Arial"/>
          <w:b/>
          <w:i/>
          <w:lang w:val="en-US"/>
        </w:rPr>
        <w:t xml:space="preserve"> </w:t>
      </w:r>
      <w:r w:rsidR="00636D31" w:rsidRPr="008A7F05">
        <w:rPr>
          <w:rStyle w:val="pagesubtitle1"/>
          <w:rFonts w:ascii="Arial" w:hAnsi="Arial" w:cs="Arial"/>
          <w:b/>
          <w:i/>
          <w:color w:val="auto"/>
          <w:lang w:val="en-US"/>
        </w:rPr>
        <w:t xml:space="preserve">My Book Premium Edition II </w:t>
      </w:r>
      <w:r w:rsidR="00636D31" w:rsidRPr="008A7F05">
        <w:rPr>
          <w:rFonts w:ascii="Arial" w:hAnsi="Arial" w:cs="Arial"/>
          <w:b/>
          <w:i/>
          <w:lang w:val="en-US"/>
        </w:rPr>
        <w:t>WD1000C033-000</w:t>
      </w:r>
    </w:p>
    <w:p w:rsidR="00636D31" w:rsidRDefault="00636D31" w:rsidP="00636D31">
      <w:pPr>
        <w:tabs>
          <w:tab w:val="left" w:pos="180"/>
          <w:tab w:val="left" w:pos="270"/>
          <w:tab w:val="left" w:pos="993"/>
        </w:tabs>
        <w:spacing w:after="0" w:line="240" w:lineRule="auto"/>
        <w:jc w:val="both"/>
        <w:rPr>
          <w:rFonts w:ascii="Arial" w:hAnsi="Arial" w:cs="Arial"/>
          <w:lang w:val="en-US"/>
        </w:rPr>
      </w:pPr>
    </w:p>
    <w:p w:rsidR="00636D31" w:rsidRDefault="00636D31" w:rsidP="00636D31">
      <w:pPr>
        <w:tabs>
          <w:tab w:val="left" w:pos="180"/>
          <w:tab w:val="left" w:pos="270"/>
          <w:tab w:val="left" w:pos="993"/>
        </w:tabs>
        <w:spacing w:after="0" w:line="240" w:lineRule="auto"/>
        <w:jc w:val="both"/>
        <w:rPr>
          <w:rFonts w:ascii="Arial" w:hAnsi="Arial" w:cs="Arial"/>
          <w:lang w:val="en-US"/>
        </w:rPr>
      </w:pPr>
    </w:p>
    <w:p w:rsidR="00636D31" w:rsidRDefault="00636D31" w:rsidP="00636D31">
      <w:pPr>
        <w:tabs>
          <w:tab w:val="left" w:pos="180"/>
          <w:tab w:val="left" w:pos="270"/>
          <w:tab w:val="left" w:pos="993"/>
        </w:tabs>
        <w:spacing w:after="0" w:line="240" w:lineRule="auto"/>
        <w:jc w:val="both"/>
        <w:rPr>
          <w:rFonts w:ascii="Arial" w:hAnsi="Arial" w:cs="Arial"/>
          <w:lang w:val="uk-UA"/>
        </w:rPr>
      </w:pPr>
      <w:r w:rsidRPr="00636D31">
        <w:rPr>
          <w:rFonts w:ascii="Arial" w:hAnsi="Arial" w:cs="Arial"/>
          <w:lang w:val="en-US"/>
        </w:rPr>
        <w:t xml:space="preserve">3. What are the requirements towards the CPUs (processors) of all three servers? </w:t>
      </w:r>
      <w:proofErr w:type="gramStart"/>
      <w:r w:rsidRPr="004D1FC1">
        <w:rPr>
          <w:rFonts w:ascii="Arial" w:hAnsi="Arial" w:cs="Arial"/>
          <w:lang w:val="en-US"/>
        </w:rPr>
        <w:t>Number of cores, frequency?</w:t>
      </w:r>
      <w:proofErr w:type="gramEnd"/>
    </w:p>
    <w:p w:rsidR="00636D31" w:rsidRDefault="00636D31" w:rsidP="00636D31">
      <w:pPr>
        <w:tabs>
          <w:tab w:val="left" w:pos="180"/>
          <w:tab w:val="left" w:pos="270"/>
          <w:tab w:val="left" w:pos="993"/>
        </w:tabs>
        <w:spacing w:after="0" w:line="240" w:lineRule="auto"/>
        <w:jc w:val="both"/>
        <w:rPr>
          <w:rFonts w:ascii="Arial" w:hAnsi="Arial" w:cs="Arial"/>
          <w:lang w:val="uk-UA"/>
        </w:rPr>
      </w:pPr>
    </w:p>
    <w:p w:rsidR="00636D31" w:rsidRPr="008A7F05" w:rsidRDefault="00636D31" w:rsidP="00636D31">
      <w:pPr>
        <w:tabs>
          <w:tab w:val="left" w:pos="180"/>
          <w:tab w:val="left" w:pos="270"/>
          <w:tab w:val="left" w:pos="993"/>
        </w:tabs>
        <w:spacing w:after="0" w:line="240" w:lineRule="auto"/>
        <w:jc w:val="both"/>
        <w:rPr>
          <w:rFonts w:ascii="Arial" w:hAnsi="Arial" w:cs="Arial"/>
          <w:b/>
          <w:i/>
          <w:lang w:val="en-US"/>
        </w:rPr>
      </w:pPr>
      <w:r w:rsidRPr="008A7F05">
        <w:rPr>
          <w:rFonts w:ascii="Arial" w:hAnsi="Arial" w:cs="Arial"/>
          <w:b/>
          <w:i/>
          <w:lang w:val="en-US"/>
        </w:rPr>
        <w:t>Answer:</w:t>
      </w:r>
    </w:p>
    <w:p w:rsidR="00636D31" w:rsidRPr="008A7F05" w:rsidRDefault="009A532A" w:rsidP="00636D31">
      <w:pPr>
        <w:spacing w:after="0" w:line="240" w:lineRule="auto"/>
        <w:rPr>
          <w:rFonts w:ascii="Arial" w:hAnsi="Arial" w:cs="Arial"/>
          <w:b/>
          <w:i/>
          <w:lang w:val="en-US"/>
        </w:rPr>
      </w:pPr>
      <w:hyperlink r:id="rId6" w:history="1">
        <w:r w:rsidR="00636D31" w:rsidRPr="008A7F05">
          <w:rPr>
            <w:rStyle w:val="Hyperlink"/>
            <w:rFonts w:ascii="Arial" w:hAnsi="Arial" w:cs="Arial"/>
            <w:b/>
            <w:i/>
            <w:color w:val="auto"/>
            <w:u w:val="none"/>
            <w:lang w:val="en-US"/>
          </w:rPr>
          <w:t xml:space="preserve">Intel® Xeon® Processor E5-2630 </w:t>
        </w:r>
        <w:r w:rsidR="00636D31" w:rsidRPr="008A7F05">
          <w:rPr>
            <w:rFonts w:ascii="Arial" w:hAnsi="Arial" w:cs="Arial"/>
            <w:b/>
            <w:i/>
            <w:lang w:val="en-US"/>
          </w:rPr>
          <w:br/>
        </w:r>
        <w:r w:rsidR="00636D31" w:rsidRPr="008A7F05">
          <w:rPr>
            <w:rStyle w:val="Hyperlink"/>
            <w:rFonts w:ascii="Arial" w:hAnsi="Arial" w:cs="Arial"/>
            <w:b/>
            <w:i/>
            <w:color w:val="auto"/>
            <w:u w:val="none"/>
            <w:lang w:val="en-US"/>
          </w:rPr>
          <w:t>(15M Cache, 2.30 GHz, 7.20 GT/s Intel® QPI)</w:t>
        </w:r>
      </w:hyperlink>
    </w:p>
    <w:p w:rsidR="00636D31" w:rsidRPr="008A7F05" w:rsidRDefault="00636D31" w:rsidP="00636D31">
      <w:pPr>
        <w:tabs>
          <w:tab w:val="left" w:pos="180"/>
          <w:tab w:val="left" w:pos="270"/>
          <w:tab w:val="left" w:pos="993"/>
        </w:tabs>
        <w:spacing w:after="0" w:line="240" w:lineRule="auto"/>
        <w:jc w:val="both"/>
        <w:rPr>
          <w:rFonts w:ascii="Arial" w:hAnsi="Arial" w:cs="Arial"/>
          <w:lang w:val="en-US"/>
        </w:rPr>
      </w:pPr>
    </w:p>
    <w:p w:rsidR="00636D31" w:rsidRPr="008A7F05" w:rsidRDefault="00636D31" w:rsidP="00636D31">
      <w:pPr>
        <w:tabs>
          <w:tab w:val="left" w:pos="180"/>
          <w:tab w:val="left" w:pos="270"/>
          <w:tab w:val="left" w:pos="993"/>
        </w:tabs>
        <w:spacing w:after="0" w:line="240" w:lineRule="auto"/>
        <w:jc w:val="both"/>
        <w:rPr>
          <w:rFonts w:ascii="Arial" w:hAnsi="Arial" w:cs="Arial"/>
          <w:lang w:val="en-US"/>
        </w:rPr>
      </w:pPr>
    </w:p>
    <w:p w:rsidR="00636D31" w:rsidRPr="008A7F05" w:rsidRDefault="008A7F05" w:rsidP="008A7F05">
      <w:pPr>
        <w:tabs>
          <w:tab w:val="left" w:pos="180"/>
          <w:tab w:val="left" w:pos="270"/>
          <w:tab w:val="left" w:pos="993"/>
        </w:tabs>
        <w:spacing w:after="0" w:line="240" w:lineRule="auto"/>
        <w:rPr>
          <w:rFonts w:ascii="Arial" w:hAnsi="Arial" w:cs="Arial"/>
          <w:lang w:val="en-US"/>
        </w:rPr>
      </w:pPr>
      <w:r w:rsidRPr="008A7F05">
        <w:rPr>
          <w:rFonts w:ascii="Arial" w:hAnsi="Arial" w:cs="Arial"/>
          <w:lang w:val="en-US"/>
        </w:rPr>
        <w:t xml:space="preserve">4. Item Code </w:t>
      </w:r>
      <w:r w:rsidRPr="008A7F05">
        <w:rPr>
          <w:rFonts w:ascii="Arial" w:hAnsi="Arial" w:cs="Arial"/>
          <w:b/>
          <w:bCs/>
          <w:lang w:val="en-US"/>
        </w:rPr>
        <w:t>UA20-2015-021.8</w:t>
      </w:r>
      <w:r w:rsidRPr="008A7F05">
        <w:rPr>
          <w:rFonts w:ascii="Arial" w:hAnsi="Arial" w:cs="Arial"/>
          <w:lang w:val="en-US"/>
        </w:rPr>
        <w:t>, item description: File Server (6 TB</w:t>
      </w:r>
      <w:proofErr w:type="gramStart"/>
      <w:r w:rsidRPr="008A7F05">
        <w:rPr>
          <w:rFonts w:ascii="Arial" w:hAnsi="Arial" w:cs="Arial"/>
          <w:lang w:val="en-US"/>
        </w:rPr>
        <w:t>)</w:t>
      </w:r>
      <w:proofErr w:type="gramEnd"/>
      <w:r w:rsidRPr="008A7F05">
        <w:rPr>
          <w:rFonts w:ascii="Arial" w:hAnsi="Arial" w:cs="Arial"/>
          <w:lang w:val="en-US"/>
        </w:rPr>
        <w:br/>
        <w:t>Can we include into configuration 1TB SATA disk drives for “HDD for data” instead of requested SAS drives?</w:t>
      </w:r>
    </w:p>
    <w:p w:rsidR="00CA0833" w:rsidRDefault="00CA0833" w:rsidP="008A7F05">
      <w:pPr>
        <w:tabs>
          <w:tab w:val="left" w:pos="180"/>
          <w:tab w:val="left" w:pos="270"/>
          <w:tab w:val="left" w:pos="993"/>
        </w:tabs>
        <w:spacing w:after="0" w:line="240" w:lineRule="auto"/>
        <w:rPr>
          <w:rFonts w:ascii="Arial" w:hAnsi="Arial" w:cs="Arial"/>
          <w:b/>
          <w:i/>
          <w:lang w:val="uk-UA"/>
        </w:rPr>
      </w:pPr>
    </w:p>
    <w:p w:rsidR="008A7F05" w:rsidRPr="008A7F05" w:rsidRDefault="0094475C" w:rsidP="008A7F05">
      <w:pPr>
        <w:tabs>
          <w:tab w:val="left" w:pos="180"/>
          <w:tab w:val="left" w:pos="270"/>
          <w:tab w:val="left" w:pos="993"/>
        </w:tabs>
        <w:spacing w:after="0" w:line="240" w:lineRule="auto"/>
        <w:rPr>
          <w:rFonts w:ascii="Arial" w:hAnsi="Arial" w:cs="Arial"/>
          <w:b/>
          <w:i/>
          <w:lang w:val="en-US"/>
        </w:rPr>
      </w:pPr>
      <w:r>
        <w:rPr>
          <w:rFonts w:ascii="Arial" w:hAnsi="Arial" w:cs="Arial"/>
          <w:b/>
          <w:i/>
          <w:lang w:val="en-US"/>
        </w:rPr>
        <w:t>IOM Response</w:t>
      </w:r>
      <w:r w:rsidRPr="008A7F05">
        <w:rPr>
          <w:rFonts w:ascii="Arial" w:hAnsi="Arial" w:cs="Arial"/>
          <w:b/>
          <w:i/>
          <w:lang w:val="en-US"/>
        </w:rPr>
        <w:t>:</w:t>
      </w:r>
      <w:r w:rsidR="008A7F05" w:rsidRPr="008A7F05">
        <w:rPr>
          <w:rFonts w:ascii="Arial" w:hAnsi="Arial" w:cs="Arial"/>
          <w:b/>
          <w:i/>
          <w:lang w:val="en-US"/>
        </w:rPr>
        <w:t xml:space="preserve"> No.</w:t>
      </w:r>
    </w:p>
    <w:p w:rsidR="008A7F05" w:rsidRPr="008A7F05" w:rsidRDefault="008A7F05" w:rsidP="008A7F05">
      <w:pPr>
        <w:tabs>
          <w:tab w:val="left" w:pos="180"/>
          <w:tab w:val="left" w:pos="270"/>
          <w:tab w:val="left" w:pos="993"/>
        </w:tabs>
        <w:spacing w:after="0" w:line="240" w:lineRule="auto"/>
        <w:rPr>
          <w:rFonts w:ascii="Arial" w:hAnsi="Arial" w:cs="Arial"/>
          <w:lang w:val="en-US"/>
        </w:rPr>
      </w:pPr>
    </w:p>
    <w:p w:rsidR="008A7F05" w:rsidRPr="008A7F05" w:rsidRDefault="008A7F05" w:rsidP="008A7F05">
      <w:pPr>
        <w:tabs>
          <w:tab w:val="left" w:pos="180"/>
          <w:tab w:val="left" w:pos="270"/>
          <w:tab w:val="left" w:pos="993"/>
        </w:tabs>
        <w:spacing w:after="0" w:line="240" w:lineRule="auto"/>
        <w:rPr>
          <w:rFonts w:ascii="Arial" w:hAnsi="Arial" w:cs="Arial"/>
          <w:lang w:val="en-US"/>
        </w:rPr>
      </w:pPr>
    </w:p>
    <w:p w:rsidR="008A7F05" w:rsidRPr="008A7F05" w:rsidRDefault="008A7F05" w:rsidP="008A7F05">
      <w:pPr>
        <w:spacing w:after="0" w:line="240" w:lineRule="auto"/>
        <w:rPr>
          <w:rFonts w:ascii="Arial" w:hAnsi="Arial" w:cs="Arial"/>
          <w:lang w:val="en-GB"/>
        </w:rPr>
      </w:pPr>
      <w:r w:rsidRPr="008A7F05">
        <w:rPr>
          <w:rFonts w:ascii="Arial" w:hAnsi="Arial" w:cs="Arial"/>
          <w:lang w:val="en-US"/>
        </w:rPr>
        <w:t xml:space="preserve">5. </w:t>
      </w:r>
      <w:r w:rsidRPr="008A7F05">
        <w:rPr>
          <w:rFonts w:ascii="Arial" w:hAnsi="Arial" w:cs="Arial"/>
          <w:lang w:val="en-GB"/>
        </w:rPr>
        <w:t>In regards to items 5 (Memory DDR3) and 7 (Hard Disk Drive), could you so kindly inform us on the devices in which these items will be used?</w:t>
      </w:r>
    </w:p>
    <w:p w:rsidR="008A7F05" w:rsidRPr="008A7F05" w:rsidRDefault="008A7F05" w:rsidP="008A7F05">
      <w:pPr>
        <w:tabs>
          <w:tab w:val="left" w:pos="180"/>
          <w:tab w:val="left" w:pos="270"/>
          <w:tab w:val="left" w:pos="993"/>
        </w:tabs>
        <w:spacing w:after="0" w:line="240" w:lineRule="auto"/>
        <w:rPr>
          <w:rFonts w:ascii="Arial" w:hAnsi="Arial" w:cs="Arial"/>
          <w:lang w:val="en-US"/>
        </w:rPr>
      </w:pPr>
      <w:r w:rsidRPr="008A7F05">
        <w:rPr>
          <w:rFonts w:ascii="Arial" w:hAnsi="Arial" w:cs="Arial"/>
          <w:lang w:val="en-GB"/>
        </w:rPr>
        <w:t>If possible, please revert with the model numbers for the devices where the Memory and the HDD will be used.</w:t>
      </w:r>
    </w:p>
    <w:p w:rsidR="00CA0833" w:rsidRDefault="00CA0833" w:rsidP="008A7F05">
      <w:pPr>
        <w:tabs>
          <w:tab w:val="left" w:pos="180"/>
          <w:tab w:val="left" w:pos="270"/>
          <w:tab w:val="left" w:pos="993"/>
        </w:tabs>
        <w:spacing w:after="0" w:line="240" w:lineRule="auto"/>
        <w:rPr>
          <w:rFonts w:ascii="Arial" w:hAnsi="Arial" w:cs="Arial"/>
          <w:lang w:val="uk-UA"/>
        </w:rPr>
      </w:pPr>
    </w:p>
    <w:p w:rsidR="008A7F05" w:rsidRPr="008A7F05" w:rsidRDefault="0094475C" w:rsidP="008A7F05">
      <w:pPr>
        <w:tabs>
          <w:tab w:val="left" w:pos="180"/>
          <w:tab w:val="left" w:pos="270"/>
          <w:tab w:val="left" w:pos="993"/>
        </w:tabs>
        <w:spacing w:after="0" w:line="240" w:lineRule="auto"/>
        <w:rPr>
          <w:rFonts w:ascii="Arial" w:hAnsi="Arial" w:cs="Arial"/>
          <w:b/>
          <w:i/>
          <w:lang w:val="en-US"/>
        </w:rPr>
      </w:pPr>
      <w:r>
        <w:rPr>
          <w:rFonts w:ascii="Arial" w:hAnsi="Arial" w:cs="Arial"/>
          <w:b/>
          <w:i/>
          <w:lang w:val="en-US"/>
        </w:rPr>
        <w:t>IOM Response</w:t>
      </w:r>
      <w:r w:rsidRPr="008A7F05">
        <w:rPr>
          <w:rFonts w:ascii="Arial" w:hAnsi="Arial" w:cs="Arial"/>
          <w:b/>
          <w:i/>
          <w:lang w:val="en-US"/>
        </w:rPr>
        <w:t>:</w:t>
      </w:r>
      <w:r w:rsidR="008A7F05" w:rsidRPr="008A7F05">
        <w:rPr>
          <w:rFonts w:ascii="Arial" w:hAnsi="Arial" w:cs="Arial"/>
          <w:b/>
          <w:i/>
          <w:lang w:val="en-US"/>
        </w:rPr>
        <w:t xml:space="preserve"> </w:t>
      </w:r>
    </w:p>
    <w:p w:rsidR="008A7F05" w:rsidRPr="008A7F05" w:rsidRDefault="008A7F05" w:rsidP="008A7F05">
      <w:pPr>
        <w:spacing w:after="0" w:line="240" w:lineRule="auto"/>
        <w:rPr>
          <w:rFonts w:ascii="Arial" w:hAnsi="Arial" w:cs="Arial"/>
          <w:b/>
          <w:i/>
          <w:lang w:val="en-US"/>
        </w:rPr>
      </w:pPr>
      <w:r w:rsidRPr="008A7F05">
        <w:rPr>
          <w:rFonts w:ascii="Arial" w:hAnsi="Arial" w:cs="Arial"/>
          <w:b/>
          <w:i/>
          <w:lang w:val="en-US"/>
        </w:rPr>
        <w:t>Memory- Dell 980/990</w:t>
      </w:r>
    </w:p>
    <w:p w:rsidR="008A7F05" w:rsidRPr="008A7F05" w:rsidRDefault="008A7F05" w:rsidP="008A7F05">
      <w:pPr>
        <w:spacing w:after="0" w:line="240" w:lineRule="auto"/>
        <w:rPr>
          <w:rFonts w:ascii="Arial" w:hAnsi="Arial" w:cs="Arial"/>
          <w:b/>
          <w:i/>
          <w:lang w:val="en-US"/>
        </w:rPr>
      </w:pPr>
      <w:r w:rsidRPr="008A7F05">
        <w:rPr>
          <w:rFonts w:ascii="Arial" w:hAnsi="Arial" w:cs="Arial"/>
          <w:b/>
          <w:i/>
          <w:lang w:val="en-US"/>
        </w:rPr>
        <w:t xml:space="preserve">HDD - </w:t>
      </w:r>
      <w:r w:rsidRPr="008A7F05">
        <w:rPr>
          <w:rStyle w:val="pagesubtitle1"/>
          <w:rFonts w:ascii="Arial" w:hAnsi="Arial" w:cs="Arial"/>
          <w:b/>
          <w:i/>
          <w:color w:val="auto"/>
          <w:lang w:val="en-US"/>
        </w:rPr>
        <w:t xml:space="preserve">My Book Premium Edition II </w:t>
      </w:r>
      <w:r w:rsidRPr="008A7F05">
        <w:rPr>
          <w:rFonts w:ascii="Arial" w:hAnsi="Arial" w:cs="Arial"/>
          <w:b/>
          <w:i/>
          <w:lang w:val="en-US"/>
        </w:rPr>
        <w:t>WD1000C033-000</w:t>
      </w:r>
    </w:p>
    <w:p w:rsidR="008A7F05" w:rsidRPr="008A7F05" w:rsidRDefault="008A7F05" w:rsidP="008A7F05">
      <w:pPr>
        <w:tabs>
          <w:tab w:val="left" w:pos="180"/>
          <w:tab w:val="left" w:pos="270"/>
          <w:tab w:val="left" w:pos="993"/>
        </w:tabs>
        <w:spacing w:after="0" w:line="240" w:lineRule="auto"/>
        <w:rPr>
          <w:rFonts w:ascii="Arial" w:hAnsi="Arial" w:cs="Arial"/>
          <w:lang w:val="en-US"/>
        </w:rPr>
      </w:pPr>
    </w:p>
    <w:p w:rsidR="008A7F05" w:rsidRPr="008A7F05" w:rsidRDefault="008A7F05" w:rsidP="008A7F05">
      <w:pPr>
        <w:tabs>
          <w:tab w:val="left" w:pos="180"/>
          <w:tab w:val="left" w:pos="270"/>
          <w:tab w:val="left" w:pos="993"/>
        </w:tabs>
        <w:spacing w:after="0" w:line="240" w:lineRule="auto"/>
        <w:rPr>
          <w:rFonts w:ascii="Arial" w:hAnsi="Arial" w:cs="Arial"/>
          <w:lang w:val="en-US"/>
        </w:rPr>
      </w:pPr>
    </w:p>
    <w:p w:rsidR="00B9563F" w:rsidRDefault="008A7F05" w:rsidP="008A7F05">
      <w:pPr>
        <w:tabs>
          <w:tab w:val="left" w:pos="180"/>
          <w:tab w:val="left" w:pos="270"/>
          <w:tab w:val="left" w:pos="993"/>
        </w:tabs>
        <w:spacing w:after="0" w:line="240" w:lineRule="auto"/>
        <w:rPr>
          <w:rFonts w:ascii="Arial" w:hAnsi="Arial" w:cs="Arial"/>
          <w:lang w:val="en-US"/>
        </w:rPr>
      </w:pPr>
      <w:r w:rsidRPr="00B9563F">
        <w:rPr>
          <w:rFonts w:ascii="Arial" w:hAnsi="Arial" w:cs="Arial"/>
          <w:lang w:val="en-US"/>
        </w:rPr>
        <w:t xml:space="preserve">6. </w:t>
      </w:r>
      <w:r w:rsidR="00B9563F">
        <w:rPr>
          <w:rFonts w:ascii="Arial" w:hAnsi="Arial" w:cs="Arial"/>
          <w:lang w:val="en-US"/>
        </w:rPr>
        <w:t>Is</w:t>
      </w:r>
      <w:r w:rsidR="00B9563F" w:rsidRPr="00B9563F">
        <w:rPr>
          <w:rFonts w:ascii="Arial" w:hAnsi="Arial" w:cs="Arial"/>
          <w:lang w:val="en-US"/>
        </w:rPr>
        <w:t xml:space="preserve"> </w:t>
      </w:r>
      <w:r w:rsidR="00B9563F">
        <w:rPr>
          <w:rFonts w:ascii="Arial" w:hAnsi="Arial" w:cs="Arial"/>
          <w:lang w:val="en-US"/>
        </w:rPr>
        <w:t>documentation</w:t>
      </w:r>
      <w:r w:rsidR="00B9563F" w:rsidRPr="00B9563F">
        <w:rPr>
          <w:rFonts w:ascii="Arial" w:hAnsi="Arial" w:cs="Arial"/>
          <w:lang w:val="en-US"/>
        </w:rPr>
        <w:t xml:space="preserve"> </w:t>
      </w:r>
      <w:r w:rsidR="00B9563F">
        <w:rPr>
          <w:rFonts w:ascii="Arial" w:hAnsi="Arial" w:cs="Arial"/>
          <w:lang w:val="en-US"/>
        </w:rPr>
        <w:t>in</w:t>
      </w:r>
      <w:r w:rsidR="00B9563F" w:rsidRPr="00B9563F">
        <w:rPr>
          <w:rFonts w:ascii="Arial" w:hAnsi="Arial" w:cs="Arial"/>
          <w:lang w:val="en-US"/>
        </w:rPr>
        <w:t xml:space="preserve"> </w:t>
      </w:r>
      <w:r w:rsidR="00B9563F">
        <w:rPr>
          <w:rFonts w:ascii="Arial" w:hAnsi="Arial" w:cs="Arial"/>
          <w:lang w:val="en-US"/>
        </w:rPr>
        <w:t>Russian</w:t>
      </w:r>
      <w:r w:rsidR="00B9563F" w:rsidRPr="00B9563F">
        <w:rPr>
          <w:rFonts w:ascii="Arial" w:hAnsi="Arial" w:cs="Arial"/>
          <w:lang w:val="en-US"/>
        </w:rPr>
        <w:t>/</w:t>
      </w:r>
      <w:r w:rsidR="00B9563F">
        <w:rPr>
          <w:rFonts w:ascii="Arial" w:hAnsi="Arial" w:cs="Arial"/>
          <w:lang w:val="en-US"/>
        </w:rPr>
        <w:t>Ukrainian</w:t>
      </w:r>
      <w:r w:rsidR="00B9563F" w:rsidRPr="00B9563F">
        <w:rPr>
          <w:rFonts w:ascii="Arial" w:hAnsi="Arial" w:cs="Arial"/>
          <w:lang w:val="en-US"/>
        </w:rPr>
        <w:t xml:space="preserve"> </w:t>
      </w:r>
      <w:r w:rsidR="00B9563F">
        <w:rPr>
          <w:rFonts w:ascii="Arial" w:hAnsi="Arial" w:cs="Arial"/>
          <w:lang w:val="en-US"/>
        </w:rPr>
        <w:t>available?</w:t>
      </w:r>
    </w:p>
    <w:p w:rsidR="008A7F05" w:rsidRDefault="008A7F05" w:rsidP="008A7F05">
      <w:pPr>
        <w:tabs>
          <w:tab w:val="left" w:pos="180"/>
          <w:tab w:val="left" w:pos="270"/>
          <w:tab w:val="left" w:pos="993"/>
        </w:tabs>
        <w:spacing w:after="0" w:line="240" w:lineRule="auto"/>
        <w:rPr>
          <w:rFonts w:ascii="Arial" w:hAnsi="Arial" w:cs="Arial"/>
        </w:rPr>
      </w:pPr>
    </w:p>
    <w:p w:rsidR="00B9563F" w:rsidRPr="00B9563F" w:rsidRDefault="00B9563F" w:rsidP="008A7F05">
      <w:pPr>
        <w:tabs>
          <w:tab w:val="left" w:pos="180"/>
          <w:tab w:val="left" w:pos="270"/>
          <w:tab w:val="left" w:pos="993"/>
        </w:tabs>
        <w:spacing w:after="0" w:line="240" w:lineRule="auto"/>
        <w:rPr>
          <w:rFonts w:ascii="Arial" w:hAnsi="Arial" w:cs="Arial"/>
          <w:b/>
          <w:i/>
          <w:lang w:val="en-US"/>
        </w:rPr>
      </w:pPr>
      <w:r>
        <w:rPr>
          <w:rFonts w:ascii="Arial" w:hAnsi="Arial" w:cs="Arial"/>
          <w:b/>
          <w:i/>
          <w:lang w:val="en-US"/>
        </w:rPr>
        <w:lastRenderedPageBreak/>
        <w:t>ION Response: Bidding document is available only in English.</w:t>
      </w:r>
    </w:p>
    <w:p w:rsidR="008A7F05" w:rsidRPr="00B9563F" w:rsidRDefault="008A7F05" w:rsidP="008A7F05">
      <w:pPr>
        <w:tabs>
          <w:tab w:val="left" w:pos="180"/>
          <w:tab w:val="left" w:pos="270"/>
          <w:tab w:val="left" w:pos="993"/>
        </w:tabs>
        <w:spacing w:after="0" w:line="240" w:lineRule="auto"/>
        <w:rPr>
          <w:rFonts w:ascii="Arial" w:hAnsi="Arial" w:cs="Arial"/>
          <w:lang w:val="en-US"/>
        </w:rPr>
      </w:pPr>
    </w:p>
    <w:p w:rsidR="008A7F05" w:rsidRPr="00B9563F" w:rsidRDefault="008A7F05" w:rsidP="008A7F05">
      <w:pPr>
        <w:tabs>
          <w:tab w:val="left" w:pos="180"/>
          <w:tab w:val="left" w:pos="270"/>
          <w:tab w:val="left" w:pos="993"/>
        </w:tabs>
        <w:spacing w:after="0" w:line="240" w:lineRule="auto"/>
        <w:rPr>
          <w:rFonts w:ascii="Arial" w:hAnsi="Arial" w:cs="Arial"/>
          <w:lang w:val="en-US"/>
        </w:rPr>
      </w:pPr>
    </w:p>
    <w:p w:rsidR="0002416B" w:rsidRDefault="008A7F05" w:rsidP="003D2698">
      <w:pPr>
        <w:spacing w:after="0" w:line="240" w:lineRule="auto"/>
        <w:rPr>
          <w:rFonts w:ascii="Arial" w:hAnsi="Arial" w:cs="Arial"/>
          <w:lang w:val="en-US"/>
        </w:rPr>
      </w:pPr>
      <w:r w:rsidRPr="0002416B">
        <w:rPr>
          <w:rFonts w:ascii="Arial" w:hAnsi="Arial" w:cs="Arial"/>
          <w:lang w:val="en-US"/>
        </w:rPr>
        <w:t xml:space="preserve">7. </w:t>
      </w:r>
      <w:r w:rsidR="0002416B">
        <w:rPr>
          <w:rFonts w:ascii="Arial" w:hAnsi="Arial" w:cs="Arial"/>
          <w:lang w:val="en-US"/>
        </w:rPr>
        <w:t>What is the meaning of “bank guarantee”, and what is the amount should be?</w:t>
      </w:r>
    </w:p>
    <w:p w:rsidR="0002416B" w:rsidRPr="003D2698" w:rsidRDefault="0002416B" w:rsidP="0002416B">
      <w:pPr>
        <w:spacing w:after="0" w:line="240" w:lineRule="auto"/>
        <w:rPr>
          <w:rFonts w:ascii="Arial" w:hAnsi="Arial" w:cs="Arial"/>
          <w:lang w:val="en-US"/>
        </w:rPr>
      </w:pPr>
      <w:r w:rsidRPr="003D2698">
        <w:rPr>
          <w:rFonts w:ascii="Arial" w:hAnsi="Arial" w:cs="Arial"/>
          <w:lang w:val="en-US"/>
        </w:rPr>
        <w:t> </w:t>
      </w:r>
      <w:r w:rsidRPr="003D2698">
        <w:rPr>
          <w:rFonts w:ascii="Arial" w:hAnsi="Arial" w:cs="Arial"/>
          <w:i/>
          <w:iCs/>
          <w:lang w:val="en-US"/>
        </w:rPr>
        <w:t>b)</w:t>
      </w:r>
      <w:r w:rsidRPr="003D2698">
        <w:rPr>
          <w:rFonts w:ascii="Arial" w:hAnsi="Arial" w:cs="Arial"/>
          <w:i/>
          <w:iCs/>
          <w:sz w:val="14"/>
          <w:szCs w:val="14"/>
          <w:lang w:val="en-US"/>
        </w:rPr>
        <w:t xml:space="preserve">       </w:t>
      </w:r>
      <w:r w:rsidRPr="003D2698">
        <w:rPr>
          <w:rFonts w:ascii="Arial" w:hAnsi="Arial" w:cs="Arial"/>
          <w:i/>
          <w:iCs/>
          <w:lang w:val="en-US"/>
        </w:rPr>
        <w:t>Bid Security equivalent (in the form of</w:t>
      </w:r>
      <w:proofErr w:type="gramStart"/>
      <w:r w:rsidRPr="003D2698">
        <w:rPr>
          <w:rFonts w:ascii="Arial" w:hAnsi="Arial" w:cs="Arial"/>
          <w:i/>
          <w:iCs/>
          <w:lang w:val="en-US"/>
        </w:rPr>
        <w:t>  bank</w:t>
      </w:r>
      <w:proofErr w:type="gramEnd"/>
      <w:r w:rsidRPr="003D2698">
        <w:rPr>
          <w:rFonts w:ascii="Arial" w:hAnsi="Arial" w:cs="Arial"/>
          <w:i/>
          <w:iCs/>
          <w:lang w:val="en-US"/>
        </w:rPr>
        <w:t xml:space="preserve"> guarantee from a reputable commercial banking institution);</w:t>
      </w:r>
    </w:p>
    <w:p w:rsidR="0002416B" w:rsidRDefault="0002416B" w:rsidP="003D2698">
      <w:pPr>
        <w:spacing w:after="0" w:line="240" w:lineRule="auto"/>
        <w:rPr>
          <w:rFonts w:ascii="Arial" w:hAnsi="Arial" w:cs="Arial"/>
          <w:lang w:val="en-US"/>
        </w:rPr>
      </w:pPr>
    </w:p>
    <w:p w:rsidR="003D2698" w:rsidRPr="004D1FC1" w:rsidRDefault="004D1FC1" w:rsidP="003D2698">
      <w:pPr>
        <w:tabs>
          <w:tab w:val="left" w:pos="180"/>
          <w:tab w:val="left" w:pos="270"/>
          <w:tab w:val="left" w:pos="993"/>
        </w:tabs>
        <w:spacing w:after="0" w:line="240" w:lineRule="auto"/>
        <w:rPr>
          <w:rFonts w:ascii="Arial" w:hAnsi="Arial" w:cs="Arial"/>
          <w:b/>
          <w:i/>
          <w:lang w:val="en-US"/>
        </w:rPr>
      </w:pPr>
      <w:r w:rsidRPr="004D1FC1">
        <w:rPr>
          <w:rFonts w:ascii="Arial" w:hAnsi="Arial" w:cs="Arial"/>
          <w:b/>
          <w:i/>
          <w:lang w:val="en-US"/>
        </w:rPr>
        <w:t>IOM Response</w:t>
      </w:r>
      <w:r w:rsidR="003D2698" w:rsidRPr="004D1FC1">
        <w:rPr>
          <w:rFonts w:ascii="Arial" w:hAnsi="Arial" w:cs="Arial"/>
          <w:b/>
          <w:i/>
          <w:lang w:val="en-US"/>
        </w:rPr>
        <w:t>:</w:t>
      </w:r>
    </w:p>
    <w:p w:rsidR="004D1FC1" w:rsidRPr="004D1FC1" w:rsidRDefault="004D1FC1" w:rsidP="003D2698">
      <w:pPr>
        <w:spacing w:after="0" w:line="240" w:lineRule="auto"/>
        <w:rPr>
          <w:rFonts w:ascii="Arial" w:hAnsi="Arial" w:cs="Arial"/>
          <w:b/>
          <w:i/>
          <w:lang w:val="en-US"/>
        </w:rPr>
      </w:pPr>
      <w:r w:rsidRPr="004D1FC1">
        <w:rPr>
          <w:rFonts w:ascii="Arial" w:hAnsi="Arial" w:cs="Arial"/>
          <w:b/>
          <w:i/>
          <w:color w:val="000000"/>
          <w:lang w:val="en-US"/>
        </w:rPr>
        <w:t xml:space="preserve">The meaning of “bank guarantee” is provision of </w:t>
      </w:r>
      <w:r w:rsidRPr="004D1FC1">
        <w:rPr>
          <w:rFonts w:ascii="Arial" w:hAnsi="Arial" w:cs="Arial"/>
          <w:b/>
          <w:i/>
          <w:lang w:val="en-US"/>
        </w:rPr>
        <w:t>Bid Security</w:t>
      </w:r>
      <w:r w:rsidRPr="004D1FC1">
        <w:rPr>
          <w:rFonts w:ascii="Arial" w:hAnsi="Arial" w:cs="Arial"/>
          <w:b/>
          <w:i/>
          <w:lang w:val="uk-UA"/>
        </w:rPr>
        <w:t xml:space="preserve"> </w:t>
      </w:r>
      <w:r w:rsidRPr="004D1FC1">
        <w:rPr>
          <w:rFonts w:ascii="Arial" w:hAnsi="Arial" w:cs="Arial"/>
          <w:b/>
          <w:i/>
          <w:lang w:val="en-US"/>
        </w:rPr>
        <w:t>equivalent to not less than ten (10) percent of the Bidders Total Bid Price</w:t>
      </w:r>
      <w:r w:rsidRPr="004D1FC1">
        <w:rPr>
          <w:rFonts w:ascii="Arial" w:hAnsi="Arial" w:cs="Arial"/>
          <w:b/>
          <w:i/>
          <w:lang w:val="en-US"/>
        </w:rPr>
        <w:t xml:space="preserve"> </w:t>
      </w:r>
      <w:r w:rsidRPr="004D1FC1">
        <w:rPr>
          <w:rFonts w:ascii="Arial" w:hAnsi="Arial" w:cs="Arial"/>
          <w:b/>
          <w:i/>
          <w:lang w:val="en-US"/>
        </w:rPr>
        <w:t>in the form of bank guarantee from a reputable commercial banking institution</w:t>
      </w:r>
      <w:r w:rsidRPr="004D1FC1">
        <w:rPr>
          <w:rFonts w:ascii="Arial" w:hAnsi="Arial" w:cs="Arial"/>
          <w:b/>
          <w:i/>
          <w:lang w:val="en-US"/>
        </w:rPr>
        <w:t>.</w:t>
      </w:r>
    </w:p>
    <w:p w:rsidR="004D1FC1" w:rsidRPr="004D1FC1" w:rsidRDefault="004D1FC1" w:rsidP="003D2698">
      <w:pPr>
        <w:spacing w:after="0" w:line="240" w:lineRule="auto"/>
        <w:rPr>
          <w:rFonts w:ascii="Arial" w:hAnsi="Arial" w:cs="Arial"/>
          <w:b/>
          <w:i/>
          <w:color w:val="000000"/>
          <w:lang w:val="en-US"/>
        </w:rPr>
      </w:pPr>
      <w:r w:rsidRPr="004D1FC1">
        <w:rPr>
          <w:rFonts w:ascii="Arial" w:hAnsi="Arial" w:cs="Arial"/>
          <w:b/>
          <w:i/>
          <w:lang w:val="en-US"/>
        </w:rPr>
        <w:t>Form of Bank guarantee is provided in Section</w:t>
      </w:r>
      <w:r w:rsidRPr="004D1FC1">
        <w:rPr>
          <w:rFonts w:ascii="Arial" w:hAnsi="Arial" w:cs="Arial"/>
          <w:b/>
          <w:i/>
          <w:color w:val="000000"/>
          <w:lang w:val="en-US"/>
        </w:rPr>
        <w:t xml:space="preserve"> </w:t>
      </w:r>
      <w:r w:rsidRPr="004D1FC1">
        <w:rPr>
          <w:rFonts w:ascii="Arial" w:hAnsi="Arial" w:cs="Arial"/>
          <w:b/>
          <w:i/>
          <w:color w:val="000000"/>
          <w:lang w:val="en-US"/>
        </w:rPr>
        <w:t>V Sample Forms, Form-4.</w:t>
      </w:r>
    </w:p>
    <w:p w:rsidR="004D1FC1" w:rsidRPr="004D1FC1" w:rsidRDefault="004D1FC1" w:rsidP="003D2698">
      <w:pPr>
        <w:spacing w:after="0" w:line="240" w:lineRule="auto"/>
        <w:rPr>
          <w:rFonts w:ascii="Arial" w:hAnsi="Arial" w:cs="Arial"/>
          <w:b/>
          <w:i/>
          <w:lang w:val="en-US"/>
        </w:rPr>
      </w:pPr>
      <w:r w:rsidRPr="004D1FC1">
        <w:rPr>
          <w:rFonts w:ascii="Arial" w:hAnsi="Arial" w:cs="Arial"/>
          <w:b/>
          <w:i/>
          <w:color w:val="000000"/>
          <w:lang w:val="en-US"/>
        </w:rPr>
        <w:t xml:space="preserve">More detailed information on Bid Security is provided in paragraph 17 of </w:t>
      </w:r>
      <w:r w:rsidRPr="004D1FC1">
        <w:rPr>
          <w:rFonts w:ascii="Arial" w:hAnsi="Arial" w:cs="Arial"/>
          <w:b/>
          <w:i/>
          <w:color w:val="000000"/>
          <w:lang w:val="en-US"/>
        </w:rPr>
        <w:t>Instructions to Bidders</w:t>
      </w:r>
    </w:p>
    <w:p w:rsidR="003D2698" w:rsidRPr="004D1FC1" w:rsidRDefault="003D2698" w:rsidP="003D2698">
      <w:pPr>
        <w:tabs>
          <w:tab w:val="left" w:pos="180"/>
          <w:tab w:val="left" w:pos="270"/>
          <w:tab w:val="left" w:pos="993"/>
        </w:tabs>
        <w:spacing w:after="0" w:line="240" w:lineRule="auto"/>
        <w:rPr>
          <w:rFonts w:ascii="Arial" w:hAnsi="Arial" w:cs="Arial"/>
          <w:b/>
          <w:i/>
          <w:color w:val="000000"/>
        </w:rPr>
      </w:pPr>
    </w:p>
    <w:tbl>
      <w:tblPr>
        <w:tblW w:w="9144" w:type="dxa"/>
        <w:tblLayout w:type="fixed"/>
        <w:tblLook w:val="0000" w:firstRow="0" w:lastRow="0" w:firstColumn="0" w:lastColumn="0" w:noHBand="0" w:noVBand="0"/>
      </w:tblPr>
      <w:tblGrid>
        <w:gridCol w:w="2160"/>
        <w:gridCol w:w="6984"/>
      </w:tblGrid>
      <w:tr w:rsidR="003D2698" w:rsidRPr="004D1FC1" w:rsidTr="00BC621C">
        <w:tc>
          <w:tcPr>
            <w:tcW w:w="2160" w:type="dxa"/>
          </w:tcPr>
          <w:p w:rsidR="003D2698" w:rsidRPr="003D2698" w:rsidRDefault="003D2698" w:rsidP="003D2698">
            <w:pPr>
              <w:pStyle w:val="Head22"/>
              <w:rPr>
                <w:rFonts w:ascii="Arial" w:hAnsi="Arial" w:cs="Arial"/>
                <w:i/>
                <w:sz w:val="22"/>
                <w:szCs w:val="22"/>
              </w:rPr>
            </w:pPr>
            <w:bookmarkStart w:id="0" w:name="_Toc340548868"/>
            <w:bookmarkStart w:id="1" w:name="_Toc420479666"/>
            <w:bookmarkStart w:id="2" w:name="_Toc410064178"/>
            <w:bookmarkStart w:id="3" w:name="_Toc420910651"/>
            <w:bookmarkStart w:id="4" w:name="_Toc421000527"/>
            <w:bookmarkStart w:id="5" w:name="_Toc410900180"/>
            <w:bookmarkStart w:id="6" w:name="_Toc392949090"/>
            <w:bookmarkStart w:id="7" w:name="_Toc231267269"/>
            <w:r w:rsidRPr="003D2698">
              <w:rPr>
                <w:rFonts w:ascii="Arial" w:hAnsi="Arial" w:cs="Arial"/>
                <w:i/>
                <w:sz w:val="22"/>
                <w:szCs w:val="22"/>
              </w:rPr>
              <w:t>17.</w:t>
            </w:r>
            <w:r w:rsidRPr="003D2698">
              <w:rPr>
                <w:rFonts w:ascii="Arial" w:hAnsi="Arial" w:cs="Arial"/>
                <w:i/>
                <w:sz w:val="22"/>
                <w:szCs w:val="22"/>
              </w:rPr>
              <w:tab/>
              <w:t>Bid Security</w:t>
            </w:r>
            <w:bookmarkEnd w:id="0"/>
            <w:bookmarkEnd w:id="1"/>
            <w:bookmarkEnd w:id="2"/>
            <w:bookmarkEnd w:id="3"/>
            <w:bookmarkEnd w:id="4"/>
            <w:bookmarkEnd w:id="5"/>
            <w:bookmarkEnd w:id="6"/>
            <w:bookmarkEnd w:id="7"/>
          </w:p>
        </w:tc>
        <w:tc>
          <w:tcPr>
            <w:tcW w:w="6984" w:type="dxa"/>
          </w:tcPr>
          <w:p w:rsidR="003D2698" w:rsidRPr="003D2698" w:rsidRDefault="003D2698" w:rsidP="003D2698">
            <w:pPr>
              <w:numPr>
                <w:ilvl w:val="1"/>
                <w:numId w:val="2"/>
              </w:numPr>
              <w:tabs>
                <w:tab w:val="clear" w:pos="420"/>
                <w:tab w:val="num" w:pos="540"/>
              </w:tabs>
              <w:spacing w:after="0" w:line="240" w:lineRule="auto"/>
              <w:ind w:left="540" w:right="-72" w:hanging="540"/>
              <w:jc w:val="both"/>
              <w:rPr>
                <w:rFonts w:ascii="Arial" w:hAnsi="Arial" w:cs="Arial"/>
                <w:b/>
                <w:i/>
                <w:color w:val="0000FF"/>
                <w:lang w:val="en-US"/>
              </w:rPr>
            </w:pPr>
            <w:r w:rsidRPr="003D2698">
              <w:rPr>
                <w:rFonts w:ascii="Arial" w:hAnsi="Arial" w:cs="Arial"/>
                <w:b/>
                <w:i/>
                <w:lang w:val="en-US"/>
              </w:rPr>
              <w:t>Pursuant to ITB Clause 10, the Bidder shall furnish, as part of its bid, a bid security amounting not less than ten (10) percent of the Bidders Total Bid Price in the form of bank guarantee from a reputable commercial banking institution.</w:t>
            </w:r>
          </w:p>
          <w:p w:rsidR="003D2698" w:rsidRPr="003D2698" w:rsidRDefault="003D2698" w:rsidP="003D2698">
            <w:pPr>
              <w:spacing w:after="0" w:line="240" w:lineRule="auto"/>
              <w:ind w:right="-72"/>
              <w:rPr>
                <w:rFonts w:ascii="Arial" w:hAnsi="Arial" w:cs="Arial"/>
                <w:b/>
                <w:i/>
                <w:lang w:val="en-US"/>
              </w:rPr>
            </w:pPr>
          </w:p>
          <w:p w:rsidR="003D2698" w:rsidRPr="003D2698" w:rsidRDefault="003D2698" w:rsidP="003D2698">
            <w:pPr>
              <w:numPr>
                <w:ilvl w:val="1"/>
                <w:numId w:val="2"/>
              </w:numPr>
              <w:tabs>
                <w:tab w:val="clear" w:pos="420"/>
                <w:tab w:val="num" w:pos="540"/>
              </w:tabs>
              <w:spacing w:after="0" w:line="240" w:lineRule="auto"/>
              <w:ind w:left="540" w:right="-72" w:hanging="540"/>
              <w:jc w:val="both"/>
              <w:rPr>
                <w:rFonts w:ascii="Arial" w:hAnsi="Arial" w:cs="Arial"/>
                <w:b/>
                <w:i/>
                <w:color w:val="3366FF"/>
                <w:lang w:val="en-US"/>
              </w:rPr>
            </w:pPr>
            <w:r w:rsidRPr="003D2698">
              <w:rPr>
                <w:rFonts w:ascii="Arial" w:hAnsi="Arial" w:cs="Arial"/>
                <w:b/>
                <w:i/>
                <w:lang w:val="en-US"/>
              </w:rPr>
              <w:t>The bid security is required to protect IOM against the risk of Bidder’s conduct, which would warrant the security’s forfeiture, pursuant to ITB Clause 17.6. The bid security shall be denominated in the form of bank guarantee from a reputable commercial banking institution.</w:t>
            </w:r>
          </w:p>
          <w:p w:rsidR="003D2698" w:rsidRPr="003D2698" w:rsidRDefault="003D2698" w:rsidP="003D2698">
            <w:pPr>
              <w:spacing w:after="0" w:line="240" w:lineRule="auto"/>
              <w:ind w:left="533" w:right="-72"/>
              <w:rPr>
                <w:rFonts w:ascii="Arial" w:hAnsi="Arial" w:cs="Arial"/>
                <w:b/>
                <w:i/>
                <w:lang w:val="en-US"/>
              </w:rPr>
            </w:pPr>
          </w:p>
          <w:p w:rsidR="003D2698" w:rsidRPr="003D2698" w:rsidRDefault="003D2698" w:rsidP="003D2698">
            <w:pPr>
              <w:numPr>
                <w:ilvl w:val="1"/>
                <w:numId w:val="2"/>
              </w:numPr>
              <w:tabs>
                <w:tab w:val="clear" w:pos="420"/>
                <w:tab w:val="num" w:pos="540"/>
              </w:tabs>
              <w:spacing w:after="0" w:line="240" w:lineRule="auto"/>
              <w:ind w:left="540" w:right="-72" w:hanging="540"/>
              <w:jc w:val="both"/>
              <w:rPr>
                <w:rFonts w:ascii="Arial" w:hAnsi="Arial" w:cs="Arial"/>
                <w:b/>
                <w:i/>
                <w:lang w:val="en-US"/>
              </w:rPr>
            </w:pPr>
            <w:r w:rsidRPr="003D2698">
              <w:rPr>
                <w:rFonts w:ascii="Arial" w:hAnsi="Arial" w:cs="Arial"/>
                <w:b/>
                <w:i/>
                <w:lang w:val="en-US"/>
              </w:rPr>
              <w:t>Any bid not secured in accordance with ITB Clauses 17.1 will be rejected by IOM as non-responsive, pursuant to ITB Clause 25.</w:t>
            </w:r>
          </w:p>
          <w:p w:rsidR="003D2698" w:rsidRPr="003D2698" w:rsidRDefault="003D2698" w:rsidP="003D2698">
            <w:pPr>
              <w:spacing w:after="0" w:line="240" w:lineRule="auto"/>
              <w:ind w:right="-72"/>
              <w:jc w:val="both"/>
              <w:rPr>
                <w:rFonts w:ascii="Arial" w:hAnsi="Arial" w:cs="Arial"/>
                <w:b/>
                <w:i/>
                <w:lang w:val="en-US"/>
              </w:rPr>
            </w:pPr>
          </w:p>
          <w:p w:rsidR="003D2698" w:rsidRPr="003D2698" w:rsidRDefault="003D2698" w:rsidP="003D2698">
            <w:pPr>
              <w:numPr>
                <w:ilvl w:val="1"/>
                <w:numId w:val="2"/>
              </w:numPr>
              <w:tabs>
                <w:tab w:val="clear" w:pos="420"/>
                <w:tab w:val="num" w:pos="540"/>
              </w:tabs>
              <w:spacing w:after="0" w:line="240" w:lineRule="auto"/>
              <w:ind w:left="540" w:right="-72" w:hanging="540"/>
              <w:jc w:val="both"/>
              <w:rPr>
                <w:rFonts w:ascii="Arial" w:hAnsi="Arial" w:cs="Arial"/>
                <w:b/>
                <w:i/>
                <w:lang w:val="en-US"/>
              </w:rPr>
            </w:pPr>
            <w:r w:rsidRPr="003D2698">
              <w:rPr>
                <w:rFonts w:ascii="Arial" w:hAnsi="Arial" w:cs="Arial"/>
                <w:b/>
                <w:i/>
                <w:lang w:val="en-US"/>
              </w:rPr>
              <w:t>Unsuccessful bidders’ bid security will be discharged or returned as promptly as possible but not later than thirty (30) days after the expiration of the period of bid validity prescribed by IOM pursuant to ITB Clause 16.</w:t>
            </w:r>
          </w:p>
          <w:p w:rsidR="003D2698" w:rsidRPr="003D2698" w:rsidRDefault="003D2698" w:rsidP="003D2698">
            <w:pPr>
              <w:tabs>
                <w:tab w:val="num" w:pos="540"/>
              </w:tabs>
              <w:spacing w:after="0" w:line="240" w:lineRule="auto"/>
              <w:ind w:left="540" w:right="-72" w:hanging="540"/>
              <w:jc w:val="both"/>
              <w:rPr>
                <w:rFonts w:ascii="Arial" w:hAnsi="Arial" w:cs="Arial"/>
                <w:b/>
                <w:i/>
                <w:lang w:val="en-US"/>
              </w:rPr>
            </w:pPr>
          </w:p>
          <w:p w:rsidR="003D2698" w:rsidRPr="003D2698" w:rsidRDefault="003D2698" w:rsidP="003D2698">
            <w:pPr>
              <w:numPr>
                <w:ilvl w:val="1"/>
                <w:numId w:val="2"/>
              </w:numPr>
              <w:tabs>
                <w:tab w:val="clear" w:pos="420"/>
                <w:tab w:val="num" w:pos="540"/>
              </w:tabs>
              <w:spacing w:after="0" w:line="240" w:lineRule="auto"/>
              <w:ind w:left="540" w:right="-72" w:hanging="540"/>
              <w:jc w:val="both"/>
              <w:rPr>
                <w:rFonts w:ascii="Arial" w:hAnsi="Arial" w:cs="Arial"/>
                <w:b/>
                <w:i/>
                <w:lang w:val="en-US"/>
              </w:rPr>
            </w:pPr>
            <w:r w:rsidRPr="003D2698">
              <w:rPr>
                <w:rFonts w:ascii="Arial" w:hAnsi="Arial" w:cs="Arial"/>
                <w:b/>
                <w:i/>
                <w:lang w:val="en-US"/>
              </w:rPr>
              <w:t>The successful Bidder’s bid security will be discharged upon the Bidder signing the contract, pursuant to ITB Clause 35, and furnishing the performance security, pursuant to ITB Clause 34.</w:t>
            </w:r>
          </w:p>
          <w:p w:rsidR="003D2698" w:rsidRPr="003D2698" w:rsidRDefault="003D2698" w:rsidP="003D2698">
            <w:pPr>
              <w:tabs>
                <w:tab w:val="num" w:pos="540"/>
              </w:tabs>
              <w:spacing w:after="0" w:line="240" w:lineRule="auto"/>
              <w:ind w:left="540" w:right="-72" w:hanging="540"/>
              <w:jc w:val="both"/>
              <w:rPr>
                <w:rFonts w:ascii="Arial" w:hAnsi="Arial" w:cs="Arial"/>
                <w:b/>
                <w:i/>
                <w:lang w:val="en-US"/>
              </w:rPr>
            </w:pPr>
          </w:p>
          <w:p w:rsidR="003D2698" w:rsidRPr="003D2698" w:rsidRDefault="003D2698" w:rsidP="003D2698">
            <w:pPr>
              <w:numPr>
                <w:ilvl w:val="1"/>
                <w:numId w:val="2"/>
              </w:numPr>
              <w:tabs>
                <w:tab w:val="clear" w:pos="420"/>
                <w:tab w:val="num" w:pos="540"/>
              </w:tabs>
              <w:spacing w:after="0" w:line="240" w:lineRule="auto"/>
              <w:ind w:right="-72"/>
              <w:rPr>
                <w:rFonts w:ascii="Arial" w:hAnsi="Arial" w:cs="Arial"/>
                <w:b/>
                <w:i/>
                <w:lang w:val="en-US"/>
              </w:rPr>
            </w:pPr>
            <w:r w:rsidRPr="003D2698">
              <w:rPr>
                <w:rFonts w:ascii="Arial" w:hAnsi="Arial" w:cs="Arial"/>
                <w:b/>
                <w:i/>
                <w:lang w:val="en-US"/>
              </w:rPr>
              <w:t>The bid security may be forfeited:</w:t>
            </w:r>
          </w:p>
          <w:p w:rsidR="003D2698" w:rsidRPr="003D2698" w:rsidRDefault="003D2698" w:rsidP="003D2698">
            <w:pPr>
              <w:tabs>
                <w:tab w:val="left" w:pos="540"/>
              </w:tabs>
              <w:spacing w:after="0" w:line="240" w:lineRule="auto"/>
              <w:ind w:left="547" w:right="-72" w:hanging="547"/>
              <w:rPr>
                <w:rFonts w:ascii="Arial" w:hAnsi="Arial" w:cs="Arial"/>
                <w:b/>
                <w:i/>
                <w:lang w:val="en-US"/>
              </w:rPr>
            </w:pPr>
          </w:p>
          <w:p w:rsidR="003D2698" w:rsidRPr="003D2698" w:rsidRDefault="003D2698" w:rsidP="003D2698">
            <w:pPr>
              <w:tabs>
                <w:tab w:val="left" w:pos="1080"/>
              </w:tabs>
              <w:spacing w:after="0" w:line="240" w:lineRule="auto"/>
              <w:ind w:left="1080" w:right="-72" w:hanging="547"/>
              <w:rPr>
                <w:rFonts w:ascii="Arial" w:hAnsi="Arial" w:cs="Arial"/>
                <w:b/>
                <w:i/>
                <w:lang w:val="en-US"/>
              </w:rPr>
            </w:pPr>
            <w:r w:rsidRPr="003D2698">
              <w:rPr>
                <w:rFonts w:ascii="Arial" w:hAnsi="Arial" w:cs="Arial"/>
                <w:b/>
                <w:i/>
                <w:lang w:val="en-US"/>
              </w:rPr>
              <w:t>(a)</w:t>
            </w:r>
            <w:r w:rsidRPr="003D2698">
              <w:rPr>
                <w:rFonts w:ascii="Arial" w:hAnsi="Arial" w:cs="Arial"/>
                <w:b/>
                <w:i/>
                <w:lang w:val="en-US"/>
              </w:rPr>
              <w:tab/>
              <w:t>if a Bidder withdraws its bid during the period of bid validity specified by the Bidder on the Bid Form; or</w:t>
            </w:r>
          </w:p>
          <w:p w:rsidR="003D2698" w:rsidRPr="003D2698" w:rsidRDefault="003D2698" w:rsidP="003D2698">
            <w:pPr>
              <w:tabs>
                <w:tab w:val="left" w:pos="1080"/>
              </w:tabs>
              <w:spacing w:after="0" w:line="240" w:lineRule="auto"/>
              <w:ind w:left="1080" w:right="-72" w:hanging="547"/>
              <w:rPr>
                <w:rFonts w:ascii="Arial" w:hAnsi="Arial" w:cs="Arial"/>
                <w:b/>
                <w:i/>
                <w:lang w:val="en-US"/>
              </w:rPr>
            </w:pPr>
          </w:p>
          <w:p w:rsidR="003D2698" w:rsidRPr="003D2698" w:rsidRDefault="003D2698" w:rsidP="003D2698">
            <w:pPr>
              <w:tabs>
                <w:tab w:val="left" w:pos="1080"/>
              </w:tabs>
              <w:spacing w:after="0" w:line="240" w:lineRule="auto"/>
              <w:ind w:left="1080" w:right="-72" w:hanging="547"/>
              <w:rPr>
                <w:rFonts w:ascii="Arial" w:hAnsi="Arial" w:cs="Arial"/>
                <w:b/>
                <w:i/>
                <w:lang w:val="en-US"/>
              </w:rPr>
            </w:pPr>
            <w:r w:rsidRPr="003D2698">
              <w:rPr>
                <w:rFonts w:ascii="Arial" w:hAnsi="Arial" w:cs="Arial"/>
                <w:b/>
                <w:i/>
                <w:lang w:val="en-US"/>
              </w:rPr>
              <w:t>(b)</w:t>
            </w:r>
            <w:r w:rsidRPr="003D2698">
              <w:rPr>
                <w:rFonts w:ascii="Arial" w:hAnsi="Arial" w:cs="Arial"/>
                <w:b/>
                <w:i/>
                <w:lang w:val="en-US"/>
              </w:rPr>
              <w:tab/>
              <w:t>in the case of a successful Bidder, if the Bidder fails:</w:t>
            </w:r>
          </w:p>
          <w:p w:rsidR="003D2698" w:rsidRPr="003D2698" w:rsidRDefault="003D2698" w:rsidP="003D2698">
            <w:pPr>
              <w:tabs>
                <w:tab w:val="left" w:pos="1080"/>
              </w:tabs>
              <w:spacing w:after="0" w:line="240" w:lineRule="auto"/>
              <w:ind w:left="1080" w:right="-72" w:hanging="547"/>
              <w:rPr>
                <w:rFonts w:ascii="Arial" w:hAnsi="Arial" w:cs="Arial"/>
                <w:b/>
                <w:i/>
                <w:lang w:val="en-US"/>
              </w:rPr>
            </w:pPr>
          </w:p>
          <w:p w:rsidR="003D2698" w:rsidRPr="003D2698" w:rsidRDefault="003D2698" w:rsidP="003D2698">
            <w:pPr>
              <w:tabs>
                <w:tab w:val="left" w:pos="1620"/>
              </w:tabs>
              <w:spacing w:after="0" w:line="240" w:lineRule="auto"/>
              <w:ind w:left="1620" w:right="-72" w:hanging="547"/>
              <w:rPr>
                <w:rFonts w:ascii="Arial" w:hAnsi="Arial" w:cs="Arial"/>
                <w:b/>
                <w:i/>
                <w:lang w:val="en-US"/>
              </w:rPr>
            </w:pPr>
            <w:r w:rsidRPr="003D2698">
              <w:rPr>
                <w:rFonts w:ascii="Arial" w:hAnsi="Arial" w:cs="Arial"/>
                <w:b/>
                <w:i/>
                <w:lang w:val="en-US"/>
              </w:rPr>
              <w:t>(</w:t>
            </w:r>
            <w:proofErr w:type="spellStart"/>
            <w:r w:rsidRPr="003D2698">
              <w:rPr>
                <w:rFonts w:ascii="Arial" w:hAnsi="Arial" w:cs="Arial"/>
                <w:b/>
                <w:i/>
                <w:lang w:val="en-US"/>
              </w:rPr>
              <w:t>i</w:t>
            </w:r>
            <w:proofErr w:type="spellEnd"/>
            <w:r w:rsidRPr="003D2698">
              <w:rPr>
                <w:rFonts w:ascii="Arial" w:hAnsi="Arial" w:cs="Arial"/>
                <w:b/>
                <w:i/>
                <w:lang w:val="en-US"/>
              </w:rPr>
              <w:t>)</w:t>
            </w:r>
            <w:r w:rsidRPr="003D2698">
              <w:rPr>
                <w:rFonts w:ascii="Arial" w:hAnsi="Arial" w:cs="Arial"/>
                <w:b/>
                <w:i/>
                <w:lang w:val="en-US"/>
              </w:rPr>
              <w:tab/>
              <w:t xml:space="preserve">to sign the contract in accordance with ITB Clause 35; </w:t>
            </w:r>
          </w:p>
          <w:p w:rsidR="003D2698" w:rsidRPr="003D2698" w:rsidRDefault="003D2698" w:rsidP="003D2698">
            <w:pPr>
              <w:tabs>
                <w:tab w:val="left" w:pos="1620"/>
              </w:tabs>
              <w:spacing w:after="0" w:line="240" w:lineRule="auto"/>
              <w:ind w:left="1620" w:right="-72" w:hanging="547"/>
              <w:rPr>
                <w:rFonts w:ascii="Arial" w:hAnsi="Arial" w:cs="Arial"/>
                <w:b/>
                <w:i/>
              </w:rPr>
            </w:pPr>
            <w:r w:rsidRPr="003D2698">
              <w:rPr>
                <w:rFonts w:ascii="Arial" w:hAnsi="Arial" w:cs="Arial"/>
                <w:b/>
                <w:i/>
              </w:rPr>
              <w:t>or</w:t>
            </w:r>
          </w:p>
          <w:p w:rsidR="003D2698" w:rsidRPr="003D2698" w:rsidRDefault="003D2698" w:rsidP="003D2698">
            <w:pPr>
              <w:tabs>
                <w:tab w:val="left" w:pos="1620"/>
              </w:tabs>
              <w:spacing w:after="0" w:line="240" w:lineRule="auto"/>
              <w:ind w:left="1620" w:right="-72" w:hanging="547"/>
              <w:rPr>
                <w:rFonts w:ascii="Arial" w:hAnsi="Arial" w:cs="Arial"/>
                <w:b/>
                <w:i/>
                <w:lang w:val="en-US"/>
              </w:rPr>
            </w:pPr>
            <w:r w:rsidRPr="003D2698">
              <w:rPr>
                <w:rFonts w:ascii="Arial" w:hAnsi="Arial" w:cs="Arial"/>
                <w:b/>
                <w:i/>
                <w:lang w:val="en-US"/>
              </w:rPr>
              <w:t>(ii)</w:t>
            </w:r>
            <w:r w:rsidRPr="003D2698">
              <w:rPr>
                <w:rFonts w:ascii="Arial" w:hAnsi="Arial" w:cs="Arial"/>
                <w:b/>
                <w:i/>
                <w:lang w:val="en-US"/>
              </w:rPr>
              <w:tab/>
            </w:r>
            <w:proofErr w:type="gramStart"/>
            <w:r w:rsidRPr="003D2698">
              <w:rPr>
                <w:rFonts w:ascii="Arial" w:hAnsi="Arial" w:cs="Arial"/>
                <w:b/>
                <w:i/>
                <w:lang w:val="en-US"/>
              </w:rPr>
              <w:t>to</w:t>
            </w:r>
            <w:proofErr w:type="gramEnd"/>
            <w:r w:rsidRPr="003D2698">
              <w:rPr>
                <w:rFonts w:ascii="Arial" w:hAnsi="Arial" w:cs="Arial"/>
                <w:b/>
                <w:i/>
                <w:lang w:val="en-US"/>
              </w:rPr>
              <w:t xml:space="preserve"> furnish performance security in accordance with ITB Clause 34.</w:t>
            </w:r>
          </w:p>
          <w:p w:rsidR="003D2698" w:rsidRPr="003D2698" w:rsidRDefault="003D2698" w:rsidP="003D2698">
            <w:pPr>
              <w:tabs>
                <w:tab w:val="left" w:pos="540"/>
              </w:tabs>
              <w:spacing w:after="0" w:line="240" w:lineRule="auto"/>
              <w:ind w:left="547" w:right="-72" w:hanging="547"/>
              <w:rPr>
                <w:rFonts w:ascii="Arial" w:hAnsi="Arial" w:cs="Arial"/>
                <w:b/>
                <w:i/>
                <w:lang w:val="en-US"/>
              </w:rPr>
            </w:pPr>
          </w:p>
        </w:tc>
      </w:tr>
    </w:tbl>
    <w:p w:rsidR="003D2698" w:rsidRPr="004D1FC1" w:rsidRDefault="003D2698" w:rsidP="000A6C0E">
      <w:pPr>
        <w:tabs>
          <w:tab w:val="left" w:pos="180"/>
          <w:tab w:val="left" w:pos="270"/>
          <w:tab w:val="left" w:pos="993"/>
        </w:tabs>
        <w:spacing w:after="0" w:line="240" w:lineRule="auto"/>
        <w:rPr>
          <w:rFonts w:ascii="Arial" w:hAnsi="Arial" w:cs="Arial"/>
          <w:lang w:val="en-US"/>
        </w:rPr>
      </w:pPr>
    </w:p>
    <w:p w:rsidR="0002416B" w:rsidRPr="0002416B" w:rsidRDefault="00DB2DED" w:rsidP="00DB2DED">
      <w:pPr>
        <w:pStyle w:val="PlainText"/>
        <w:rPr>
          <w:rFonts w:ascii="Arial" w:hAnsi="Arial" w:cs="Arial"/>
        </w:rPr>
      </w:pPr>
      <w:r w:rsidRPr="009A532A">
        <w:rPr>
          <w:rFonts w:ascii="Arial" w:hAnsi="Arial" w:cs="Arial"/>
        </w:rPr>
        <w:t>8.</w:t>
      </w:r>
      <w:r w:rsidR="009A532A">
        <w:rPr>
          <w:rFonts w:ascii="Arial" w:hAnsi="Arial" w:cs="Arial"/>
        </w:rPr>
        <w:t xml:space="preserve"> </w:t>
      </w:r>
      <w:r w:rsidR="0002416B">
        <w:rPr>
          <w:rFonts w:ascii="Arial" w:hAnsi="Arial" w:cs="Arial"/>
        </w:rPr>
        <w:t xml:space="preserve">Is it possible </w:t>
      </w:r>
      <w:r w:rsidR="009A532A">
        <w:rPr>
          <w:rFonts w:ascii="Arial" w:hAnsi="Arial" w:cs="Arial"/>
        </w:rPr>
        <w:t xml:space="preserve">to </w:t>
      </w:r>
      <w:r w:rsidR="009A532A">
        <w:rPr>
          <w:rFonts w:ascii="Arial" w:hAnsi="Arial" w:cs="Arial"/>
        </w:rPr>
        <w:t>ask questions, if any</w:t>
      </w:r>
      <w:r w:rsidR="009A532A">
        <w:rPr>
          <w:rFonts w:ascii="Arial" w:hAnsi="Arial" w:cs="Arial"/>
        </w:rPr>
        <w:t xml:space="preserve">, </w:t>
      </w:r>
      <w:r w:rsidR="0002416B">
        <w:rPr>
          <w:rFonts w:ascii="Arial" w:hAnsi="Arial" w:cs="Arial"/>
        </w:rPr>
        <w:t xml:space="preserve">after detailed study of </w:t>
      </w:r>
      <w:r w:rsidR="009A532A">
        <w:rPr>
          <w:rFonts w:ascii="Arial" w:hAnsi="Arial" w:cs="Arial"/>
        </w:rPr>
        <w:t>documentation?</w:t>
      </w:r>
    </w:p>
    <w:p w:rsidR="00DB2DED" w:rsidRPr="0002416B" w:rsidRDefault="00DB2DED" w:rsidP="000A6C0E">
      <w:pPr>
        <w:tabs>
          <w:tab w:val="left" w:pos="180"/>
          <w:tab w:val="left" w:pos="270"/>
          <w:tab w:val="left" w:pos="993"/>
        </w:tabs>
        <w:spacing w:after="0" w:line="240" w:lineRule="auto"/>
        <w:rPr>
          <w:rFonts w:ascii="Arial" w:hAnsi="Arial" w:cs="Arial"/>
          <w:lang w:val="en-US"/>
        </w:rPr>
      </w:pPr>
    </w:p>
    <w:p w:rsidR="009A532A" w:rsidRPr="009A532A" w:rsidRDefault="009A532A" w:rsidP="00DB2DED">
      <w:pPr>
        <w:tabs>
          <w:tab w:val="left" w:pos="180"/>
          <w:tab w:val="left" w:pos="270"/>
          <w:tab w:val="left" w:pos="993"/>
        </w:tabs>
        <w:spacing w:after="0" w:line="240" w:lineRule="auto"/>
        <w:jc w:val="both"/>
        <w:rPr>
          <w:rFonts w:ascii="Arial" w:hAnsi="Arial" w:cs="Arial"/>
          <w:b/>
          <w:i/>
          <w:lang w:val="en-US"/>
        </w:rPr>
      </w:pPr>
      <w:r w:rsidRPr="009A532A">
        <w:rPr>
          <w:rFonts w:ascii="Arial" w:hAnsi="Arial" w:cs="Arial"/>
          <w:b/>
          <w:i/>
          <w:lang w:val="en-US"/>
        </w:rPr>
        <w:t xml:space="preserve">IOM Response: Yes. </w:t>
      </w:r>
      <w:r>
        <w:rPr>
          <w:rFonts w:ascii="Arial" w:hAnsi="Arial" w:cs="Arial"/>
          <w:b/>
          <w:i/>
          <w:lang w:val="en-US"/>
        </w:rPr>
        <w:t>Q</w:t>
      </w:r>
      <w:r w:rsidRPr="009A532A">
        <w:rPr>
          <w:rFonts w:ascii="Arial" w:hAnsi="Arial" w:cs="Arial"/>
          <w:b/>
          <w:i/>
          <w:lang w:val="en-US"/>
        </w:rPr>
        <w:t xml:space="preserve">uestions related to Bidding Documents and / or Technical Specifications </w:t>
      </w:r>
      <w:r w:rsidRPr="009A532A">
        <w:rPr>
          <w:rFonts w:ascii="Arial" w:hAnsi="Arial" w:cs="Arial"/>
          <w:b/>
          <w:i/>
          <w:lang w:val="en-US"/>
        </w:rPr>
        <w:t xml:space="preserve">may be addressed </w:t>
      </w:r>
      <w:r w:rsidRPr="009A532A">
        <w:rPr>
          <w:rFonts w:ascii="Arial" w:hAnsi="Arial" w:cs="Arial"/>
          <w:b/>
          <w:i/>
          <w:lang w:val="en-US"/>
        </w:rPr>
        <w:t xml:space="preserve">by email: </w:t>
      </w:r>
      <w:hyperlink r:id="rId7" w:history="1"/>
      <w:hyperlink r:id="rId8" w:history="1">
        <w:r w:rsidRPr="009A532A">
          <w:rPr>
            <w:rStyle w:val="Hyperlink"/>
            <w:rFonts w:ascii="Arial" w:hAnsi="Arial" w:cs="Arial"/>
            <w:b/>
            <w:i/>
            <w:lang w:val="en-US"/>
          </w:rPr>
          <w:t>procurement@eubam.org</w:t>
        </w:r>
      </w:hyperlink>
      <w:r w:rsidRPr="009A532A">
        <w:rPr>
          <w:rFonts w:ascii="Arial" w:hAnsi="Arial" w:cs="Arial"/>
          <w:b/>
          <w:i/>
          <w:lang w:val="en-US"/>
        </w:rPr>
        <w:t xml:space="preserve"> no later than 10 (ten)</w:t>
      </w:r>
      <w:r w:rsidRPr="009A532A">
        <w:rPr>
          <w:rFonts w:ascii="Arial" w:hAnsi="Arial" w:cs="Arial"/>
          <w:b/>
          <w:i/>
          <w:color w:val="0000FF"/>
          <w:lang w:val="en-US"/>
        </w:rPr>
        <w:t xml:space="preserve"> </w:t>
      </w:r>
      <w:r w:rsidRPr="009A532A">
        <w:rPr>
          <w:rFonts w:ascii="Arial" w:hAnsi="Arial" w:cs="Arial"/>
          <w:b/>
          <w:i/>
          <w:lang w:val="en-US"/>
        </w:rPr>
        <w:t>working days prior to the deadline for the submission of bids</w:t>
      </w:r>
      <w:r w:rsidRPr="009A532A">
        <w:rPr>
          <w:rFonts w:ascii="Arial" w:hAnsi="Arial" w:cs="Arial"/>
          <w:b/>
          <w:i/>
          <w:lang w:val="en-US"/>
        </w:rPr>
        <w:t>.</w:t>
      </w:r>
    </w:p>
    <w:p w:rsidR="009A532A" w:rsidRDefault="009A532A" w:rsidP="00DB2DED">
      <w:pPr>
        <w:tabs>
          <w:tab w:val="left" w:pos="180"/>
          <w:tab w:val="left" w:pos="270"/>
          <w:tab w:val="left" w:pos="993"/>
        </w:tabs>
        <w:spacing w:after="0" w:line="240" w:lineRule="auto"/>
        <w:jc w:val="both"/>
        <w:rPr>
          <w:rFonts w:ascii="Arial" w:hAnsi="Arial" w:cs="Arial"/>
          <w:b/>
          <w:i/>
          <w:lang w:val="en-US"/>
        </w:rPr>
      </w:pPr>
    </w:p>
    <w:p w:rsidR="00650119" w:rsidRDefault="00802D1E" w:rsidP="00DB2DED">
      <w:pPr>
        <w:tabs>
          <w:tab w:val="left" w:pos="180"/>
          <w:tab w:val="left" w:pos="270"/>
          <w:tab w:val="left" w:pos="993"/>
        </w:tabs>
        <w:spacing w:after="0" w:line="240" w:lineRule="auto"/>
        <w:jc w:val="both"/>
        <w:rPr>
          <w:rFonts w:ascii="Arial" w:hAnsi="Arial" w:cs="Arial"/>
          <w:lang w:val="en-US"/>
        </w:rPr>
      </w:pPr>
      <w:r w:rsidRPr="009A532A">
        <w:rPr>
          <w:rFonts w:ascii="Arial" w:hAnsi="Arial" w:cs="Arial"/>
          <w:lang w:val="en-US"/>
        </w:rPr>
        <w:t xml:space="preserve">9. </w:t>
      </w:r>
      <w:r w:rsidR="00650119" w:rsidRPr="00650119">
        <w:rPr>
          <w:rFonts w:ascii="Arial" w:hAnsi="Arial" w:cs="Arial"/>
          <w:lang w:val="en-US"/>
        </w:rPr>
        <w:t>Shall Bids be accompanied by a Bid Security?</w:t>
      </w:r>
    </w:p>
    <w:p w:rsidR="00650119" w:rsidRPr="00650119" w:rsidRDefault="00650119" w:rsidP="00DB2DED">
      <w:pPr>
        <w:tabs>
          <w:tab w:val="left" w:pos="180"/>
          <w:tab w:val="left" w:pos="270"/>
          <w:tab w:val="left" w:pos="993"/>
        </w:tabs>
        <w:spacing w:after="0" w:line="240" w:lineRule="auto"/>
        <w:jc w:val="both"/>
        <w:rPr>
          <w:rFonts w:ascii="Arial" w:hAnsi="Arial" w:cs="Arial"/>
          <w:b/>
          <w:i/>
          <w:lang w:val="uk-UA"/>
        </w:rPr>
      </w:pPr>
    </w:p>
    <w:p w:rsidR="00650119" w:rsidRDefault="00650119" w:rsidP="00DB2DED">
      <w:pPr>
        <w:tabs>
          <w:tab w:val="left" w:pos="180"/>
          <w:tab w:val="left" w:pos="270"/>
          <w:tab w:val="left" w:pos="993"/>
        </w:tabs>
        <w:spacing w:after="0" w:line="240" w:lineRule="auto"/>
        <w:jc w:val="both"/>
        <w:rPr>
          <w:rFonts w:ascii="Arial" w:hAnsi="Arial" w:cs="Arial"/>
          <w:b/>
          <w:i/>
          <w:lang w:val="uk-UA"/>
        </w:rPr>
      </w:pPr>
      <w:r w:rsidRPr="00650119">
        <w:rPr>
          <w:rFonts w:ascii="Arial" w:hAnsi="Arial" w:cs="Arial"/>
          <w:b/>
          <w:i/>
          <w:lang w:val="en-US"/>
        </w:rPr>
        <w:t>IOM Response: Yes. Bids shall be accompanied by a Bid Security equivalent to not less than ten (10) percent of the Bidders Total Bid Price in the form of bank guarantee from a reputable commercial banking institution</w:t>
      </w:r>
      <w:r w:rsidRPr="00650119">
        <w:rPr>
          <w:rFonts w:ascii="Arial" w:hAnsi="Arial" w:cs="Arial"/>
          <w:b/>
          <w:i/>
          <w:lang w:val="uk-UA"/>
        </w:rPr>
        <w:t>.</w:t>
      </w:r>
    </w:p>
    <w:p w:rsidR="00650119" w:rsidRDefault="00650119" w:rsidP="00DB2DED">
      <w:pPr>
        <w:tabs>
          <w:tab w:val="left" w:pos="180"/>
          <w:tab w:val="left" w:pos="270"/>
          <w:tab w:val="left" w:pos="993"/>
        </w:tabs>
        <w:spacing w:after="0" w:line="240" w:lineRule="auto"/>
        <w:jc w:val="both"/>
        <w:rPr>
          <w:rFonts w:ascii="Arial" w:hAnsi="Arial" w:cs="Arial"/>
          <w:b/>
          <w:i/>
          <w:lang w:val="uk-UA"/>
        </w:rPr>
      </w:pPr>
    </w:p>
    <w:p w:rsidR="00B46701" w:rsidRDefault="00B46701" w:rsidP="00DB2DED">
      <w:pPr>
        <w:tabs>
          <w:tab w:val="left" w:pos="180"/>
          <w:tab w:val="left" w:pos="270"/>
          <w:tab w:val="left" w:pos="993"/>
        </w:tabs>
        <w:spacing w:after="0" w:line="240" w:lineRule="auto"/>
        <w:jc w:val="both"/>
        <w:rPr>
          <w:rFonts w:ascii="Arial" w:hAnsi="Arial" w:cs="Arial"/>
          <w:lang w:val="en-US"/>
        </w:rPr>
      </w:pPr>
    </w:p>
    <w:p w:rsidR="00B46701" w:rsidRDefault="00650119" w:rsidP="00DB2DED">
      <w:pPr>
        <w:tabs>
          <w:tab w:val="left" w:pos="180"/>
          <w:tab w:val="left" w:pos="270"/>
          <w:tab w:val="left" w:pos="993"/>
        </w:tabs>
        <w:spacing w:after="0" w:line="240" w:lineRule="auto"/>
        <w:jc w:val="both"/>
        <w:rPr>
          <w:rFonts w:ascii="Arial" w:hAnsi="Arial" w:cs="Arial"/>
          <w:lang w:val="en-US"/>
        </w:rPr>
      </w:pPr>
      <w:r w:rsidRPr="00B46701">
        <w:rPr>
          <w:rFonts w:ascii="Arial" w:hAnsi="Arial" w:cs="Arial"/>
          <w:lang w:val="uk-UA"/>
        </w:rPr>
        <w:t xml:space="preserve">10. </w:t>
      </w:r>
      <w:r w:rsidR="00B46701">
        <w:rPr>
          <w:rFonts w:ascii="Arial" w:hAnsi="Arial" w:cs="Arial"/>
          <w:lang w:val="en-US"/>
        </w:rPr>
        <w:t>May a Bid be submitted in Ukrainian/Russian languages?</w:t>
      </w:r>
    </w:p>
    <w:p w:rsidR="000A387A" w:rsidRPr="000A387A" w:rsidRDefault="000A387A" w:rsidP="00DB2DED">
      <w:pPr>
        <w:tabs>
          <w:tab w:val="left" w:pos="180"/>
          <w:tab w:val="left" w:pos="270"/>
          <w:tab w:val="left" w:pos="993"/>
        </w:tabs>
        <w:spacing w:after="0" w:line="240" w:lineRule="auto"/>
        <w:jc w:val="both"/>
        <w:rPr>
          <w:rFonts w:ascii="Arial" w:hAnsi="Arial" w:cs="Arial"/>
          <w:b/>
          <w:i/>
        </w:rPr>
      </w:pPr>
    </w:p>
    <w:p w:rsidR="00B46701" w:rsidRPr="00B46701" w:rsidRDefault="00B46701" w:rsidP="00DB2DED">
      <w:pPr>
        <w:tabs>
          <w:tab w:val="left" w:pos="180"/>
          <w:tab w:val="left" w:pos="270"/>
          <w:tab w:val="left" w:pos="993"/>
        </w:tabs>
        <w:spacing w:after="0" w:line="240" w:lineRule="auto"/>
        <w:jc w:val="both"/>
        <w:rPr>
          <w:rFonts w:ascii="Arial" w:hAnsi="Arial" w:cs="Arial"/>
          <w:b/>
          <w:i/>
          <w:lang w:val="en-US"/>
        </w:rPr>
      </w:pPr>
      <w:r w:rsidRPr="00B46701">
        <w:rPr>
          <w:rFonts w:ascii="Arial" w:hAnsi="Arial" w:cs="Arial"/>
          <w:b/>
          <w:i/>
          <w:lang w:val="en-US"/>
        </w:rPr>
        <w:t xml:space="preserve">IOM Response: The bid prepared by the Bidder, as well as all correspondence and documents relating to the bid exchanged by the Bidder and </w:t>
      </w:r>
      <w:proofErr w:type="gramStart"/>
      <w:r w:rsidRPr="00B46701">
        <w:rPr>
          <w:rFonts w:ascii="Arial" w:hAnsi="Arial" w:cs="Arial"/>
          <w:b/>
          <w:i/>
          <w:lang w:val="en-US"/>
        </w:rPr>
        <w:t>IOM,</w:t>
      </w:r>
      <w:proofErr w:type="gramEnd"/>
      <w:r w:rsidRPr="00B46701">
        <w:rPr>
          <w:rFonts w:ascii="Arial" w:hAnsi="Arial" w:cs="Arial"/>
          <w:b/>
          <w:i/>
          <w:lang w:val="en-US"/>
        </w:rPr>
        <w:t xml:space="preserve"> shall be written in English and/or Ukrainian language.</w:t>
      </w:r>
    </w:p>
    <w:p w:rsidR="00650119" w:rsidRPr="009A532A" w:rsidRDefault="00650119" w:rsidP="00DB2DED">
      <w:pPr>
        <w:tabs>
          <w:tab w:val="left" w:pos="180"/>
          <w:tab w:val="left" w:pos="270"/>
          <w:tab w:val="left" w:pos="993"/>
        </w:tabs>
        <w:spacing w:after="0" w:line="240" w:lineRule="auto"/>
        <w:jc w:val="both"/>
        <w:rPr>
          <w:rFonts w:ascii="Arial" w:hAnsi="Arial" w:cs="Arial"/>
          <w:lang w:val="en-US"/>
        </w:rPr>
      </w:pPr>
    </w:p>
    <w:p w:rsidR="00650119" w:rsidRPr="00B46701" w:rsidRDefault="00650119" w:rsidP="00DB2DED">
      <w:pPr>
        <w:tabs>
          <w:tab w:val="left" w:pos="180"/>
          <w:tab w:val="left" w:pos="270"/>
          <w:tab w:val="left" w:pos="993"/>
        </w:tabs>
        <w:spacing w:after="0" w:line="240" w:lineRule="auto"/>
        <w:jc w:val="both"/>
        <w:rPr>
          <w:rFonts w:ascii="Arial" w:hAnsi="Arial" w:cs="Arial"/>
          <w:lang w:val="uk-UA"/>
        </w:rPr>
      </w:pPr>
    </w:p>
    <w:p w:rsidR="00B46701" w:rsidRPr="00506CF3" w:rsidRDefault="00B46701" w:rsidP="00DB2DED">
      <w:pPr>
        <w:tabs>
          <w:tab w:val="left" w:pos="180"/>
          <w:tab w:val="left" w:pos="270"/>
          <w:tab w:val="left" w:pos="993"/>
        </w:tabs>
        <w:spacing w:after="0" w:line="240" w:lineRule="auto"/>
        <w:jc w:val="both"/>
        <w:rPr>
          <w:rFonts w:ascii="Arial" w:hAnsi="Arial" w:cs="Arial"/>
          <w:lang w:val="en-US"/>
        </w:rPr>
      </w:pPr>
      <w:r w:rsidRPr="009A532A">
        <w:rPr>
          <w:rFonts w:ascii="Arial" w:hAnsi="Arial" w:cs="Arial"/>
          <w:lang w:val="en-US"/>
        </w:rPr>
        <w:t xml:space="preserve">11. </w:t>
      </w:r>
      <w:r w:rsidR="000A387A" w:rsidRPr="00506CF3">
        <w:rPr>
          <w:rFonts w:ascii="Arial" w:hAnsi="Arial" w:cs="Arial"/>
          <w:lang w:val="en-US"/>
        </w:rPr>
        <w:t>What is the currency of the Bid?</w:t>
      </w:r>
    </w:p>
    <w:p w:rsidR="00B46701" w:rsidRPr="00506CF3" w:rsidRDefault="00B46701" w:rsidP="00DB2DED">
      <w:pPr>
        <w:tabs>
          <w:tab w:val="left" w:pos="180"/>
          <w:tab w:val="left" w:pos="270"/>
          <w:tab w:val="left" w:pos="993"/>
        </w:tabs>
        <w:spacing w:after="0" w:line="240" w:lineRule="auto"/>
        <w:jc w:val="both"/>
        <w:rPr>
          <w:rFonts w:ascii="Arial" w:hAnsi="Arial" w:cs="Arial"/>
          <w:lang w:val="en-US"/>
        </w:rPr>
      </w:pPr>
    </w:p>
    <w:p w:rsidR="00B46701" w:rsidRPr="00506CF3" w:rsidRDefault="000A387A" w:rsidP="00DB2DED">
      <w:pPr>
        <w:tabs>
          <w:tab w:val="left" w:pos="180"/>
          <w:tab w:val="left" w:pos="270"/>
          <w:tab w:val="left" w:pos="993"/>
        </w:tabs>
        <w:spacing w:after="0" w:line="240" w:lineRule="auto"/>
        <w:jc w:val="both"/>
        <w:rPr>
          <w:rFonts w:ascii="Arial" w:hAnsi="Arial" w:cs="Arial"/>
          <w:b/>
          <w:i/>
          <w:lang w:val="en-US"/>
        </w:rPr>
      </w:pPr>
      <w:bookmarkStart w:id="8" w:name="_GoBack"/>
      <w:bookmarkEnd w:id="8"/>
      <w:r w:rsidRPr="00506CF3">
        <w:rPr>
          <w:rFonts w:ascii="Arial" w:hAnsi="Arial" w:cs="Arial"/>
          <w:b/>
          <w:i/>
          <w:lang w:val="en-US"/>
        </w:rPr>
        <w:t>IOM Response: Prices shall be quoted in US Dollars</w:t>
      </w:r>
      <w:r w:rsidR="00B46701" w:rsidRPr="00506CF3">
        <w:rPr>
          <w:rFonts w:ascii="Arial" w:hAnsi="Arial" w:cs="Arial"/>
          <w:b/>
          <w:i/>
          <w:lang w:val="en-US"/>
        </w:rPr>
        <w:t>. In case of the local bidder selection the payment will be done based UN operational Rates of Exchange on the month of payment</w:t>
      </w:r>
      <w:r w:rsidRPr="00506CF3">
        <w:rPr>
          <w:rFonts w:ascii="Arial" w:hAnsi="Arial" w:cs="Arial"/>
          <w:b/>
          <w:i/>
          <w:lang w:val="en-US"/>
        </w:rPr>
        <w:t>.</w:t>
      </w:r>
    </w:p>
    <w:p w:rsidR="00B46701" w:rsidRPr="00B46701" w:rsidRDefault="00B46701" w:rsidP="00DB2DED">
      <w:pPr>
        <w:tabs>
          <w:tab w:val="left" w:pos="180"/>
          <w:tab w:val="left" w:pos="270"/>
          <w:tab w:val="left" w:pos="993"/>
        </w:tabs>
        <w:spacing w:after="0" w:line="240" w:lineRule="auto"/>
        <w:jc w:val="both"/>
        <w:rPr>
          <w:rFonts w:ascii="Arial" w:hAnsi="Arial" w:cs="Arial"/>
          <w:lang w:val="en-US"/>
        </w:rPr>
      </w:pPr>
    </w:p>
    <w:p w:rsidR="00B46701" w:rsidRPr="00B46701" w:rsidRDefault="00B46701" w:rsidP="00DB2DED">
      <w:pPr>
        <w:tabs>
          <w:tab w:val="left" w:pos="180"/>
          <w:tab w:val="left" w:pos="270"/>
          <w:tab w:val="left" w:pos="993"/>
        </w:tabs>
        <w:spacing w:after="0" w:line="240" w:lineRule="auto"/>
        <w:jc w:val="both"/>
        <w:rPr>
          <w:rFonts w:ascii="Arial" w:hAnsi="Arial" w:cs="Arial"/>
          <w:lang w:val="en-US"/>
        </w:rPr>
      </w:pPr>
    </w:p>
    <w:p w:rsidR="00650119" w:rsidRPr="00B46701" w:rsidRDefault="00650119" w:rsidP="00DB2DED">
      <w:pPr>
        <w:tabs>
          <w:tab w:val="left" w:pos="180"/>
          <w:tab w:val="left" w:pos="270"/>
          <w:tab w:val="left" w:pos="993"/>
        </w:tabs>
        <w:spacing w:after="0" w:line="240" w:lineRule="auto"/>
        <w:jc w:val="both"/>
        <w:rPr>
          <w:rFonts w:ascii="Arial" w:hAnsi="Arial" w:cs="Arial"/>
          <w:lang w:val="uk-UA"/>
        </w:rPr>
      </w:pPr>
    </w:p>
    <w:sectPr w:rsidR="00650119" w:rsidRPr="00B4670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B34E1"/>
    <w:multiLevelType w:val="hybridMultilevel"/>
    <w:tmpl w:val="355C5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5D27DE3"/>
    <w:multiLevelType w:val="multilevel"/>
    <w:tmpl w:val="0540E7F0"/>
    <w:lvl w:ilvl="0">
      <w:start w:val="17"/>
      <w:numFmt w:val="decimal"/>
      <w:lvlText w:val="%1"/>
      <w:lvlJc w:val="left"/>
      <w:pPr>
        <w:tabs>
          <w:tab w:val="num" w:pos="420"/>
        </w:tabs>
        <w:ind w:left="420" w:hanging="420"/>
      </w:pPr>
      <w:rPr>
        <w:rFonts w:hint="default"/>
        <w:i w:val="0"/>
        <w:color w:val="auto"/>
      </w:rPr>
    </w:lvl>
    <w:lvl w:ilvl="1">
      <w:start w:val="1"/>
      <w:numFmt w:val="decimal"/>
      <w:lvlText w:val="%1.%2"/>
      <w:lvlJc w:val="left"/>
      <w:pPr>
        <w:tabs>
          <w:tab w:val="num" w:pos="420"/>
        </w:tabs>
        <w:ind w:left="420" w:hanging="42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0E"/>
    <w:rsid w:val="0002416B"/>
    <w:rsid w:val="000A387A"/>
    <w:rsid w:val="000A6C0E"/>
    <w:rsid w:val="0029230E"/>
    <w:rsid w:val="003D2698"/>
    <w:rsid w:val="004D1FC1"/>
    <w:rsid w:val="00506CF3"/>
    <w:rsid w:val="00636D31"/>
    <w:rsid w:val="00650119"/>
    <w:rsid w:val="00802D1E"/>
    <w:rsid w:val="008A1C8B"/>
    <w:rsid w:val="008A7F05"/>
    <w:rsid w:val="0094475C"/>
    <w:rsid w:val="00956A76"/>
    <w:rsid w:val="009A532A"/>
    <w:rsid w:val="009B44C4"/>
    <w:rsid w:val="00B46701"/>
    <w:rsid w:val="00B55AB5"/>
    <w:rsid w:val="00B9563F"/>
    <w:rsid w:val="00BD105B"/>
    <w:rsid w:val="00CA0833"/>
    <w:rsid w:val="00DB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30E"/>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31"/>
    <w:pPr>
      <w:ind w:left="720"/>
      <w:contextualSpacing/>
    </w:pPr>
  </w:style>
  <w:style w:type="character" w:customStyle="1" w:styleId="pagesubtitle1">
    <w:name w:val="pagesubtitle1"/>
    <w:basedOn w:val="DefaultParagraphFont"/>
    <w:rsid w:val="00636D31"/>
    <w:rPr>
      <w:b w:val="0"/>
      <w:bCs w:val="0"/>
      <w:color w:val="999999"/>
    </w:rPr>
  </w:style>
  <w:style w:type="character" w:styleId="Hyperlink">
    <w:name w:val="Hyperlink"/>
    <w:basedOn w:val="DefaultParagraphFont"/>
    <w:uiPriority w:val="99"/>
    <w:semiHidden/>
    <w:unhideWhenUsed/>
    <w:rsid w:val="00636D31"/>
    <w:rPr>
      <w:color w:val="0563C1"/>
      <w:u w:val="single"/>
    </w:rPr>
  </w:style>
  <w:style w:type="character" w:styleId="FollowedHyperlink">
    <w:name w:val="FollowedHyperlink"/>
    <w:basedOn w:val="DefaultParagraphFont"/>
    <w:uiPriority w:val="99"/>
    <w:semiHidden/>
    <w:unhideWhenUsed/>
    <w:rsid w:val="008A7F05"/>
    <w:rPr>
      <w:color w:val="800080" w:themeColor="followedHyperlink"/>
      <w:u w:val="single"/>
    </w:rPr>
  </w:style>
  <w:style w:type="paragraph" w:customStyle="1" w:styleId="Head22">
    <w:name w:val="Head 2.2"/>
    <w:basedOn w:val="Normal"/>
    <w:rsid w:val="003D2698"/>
    <w:pPr>
      <w:tabs>
        <w:tab w:val="left" w:pos="360"/>
      </w:tabs>
      <w:suppressAutoHyphens/>
      <w:spacing w:after="0" w:line="240" w:lineRule="auto"/>
      <w:ind w:left="360" w:hanging="360"/>
      <w:jc w:val="both"/>
    </w:pPr>
    <w:rPr>
      <w:rFonts w:ascii="Times New Roman" w:hAnsi="Times New Roman" w:cs="Times New Roman"/>
      <w:b/>
      <w:sz w:val="24"/>
      <w:szCs w:val="20"/>
      <w:lang w:val="en-US" w:eastAsia="en-US"/>
    </w:rPr>
  </w:style>
  <w:style w:type="paragraph" w:styleId="PlainText">
    <w:name w:val="Plain Text"/>
    <w:basedOn w:val="Normal"/>
    <w:link w:val="PlainTextChar"/>
    <w:uiPriority w:val="99"/>
    <w:semiHidden/>
    <w:unhideWhenUsed/>
    <w:rsid w:val="00DB2DED"/>
    <w:pPr>
      <w:spacing w:after="0" w:line="240" w:lineRule="auto"/>
    </w:pPr>
    <w:rPr>
      <w:rFonts w:eastAsiaTheme="minorHAnsi" w:cstheme="minorBidi"/>
      <w:szCs w:val="21"/>
      <w:lang w:val="en-US" w:eastAsia="en-US"/>
    </w:rPr>
  </w:style>
  <w:style w:type="character" w:customStyle="1" w:styleId="PlainTextChar">
    <w:name w:val="Plain Text Char"/>
    <w:basedOn w:val="DefaultParagraphFont"/>
    <w:link w:val="PlainText"/>
    <w:uiPriority w:val="99"/>
    <w:semiHidden/>
    <w:rsid w:val="00DB2DED"/>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30E"/>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31"/>
    <w:pPr>
      <w:ind w:left="720"/>
      <w:contextualSpacing/>
    </w:pPr>
  </w:style>
  <w:style w:type="character" w:customStyle="1" w:styleId="pagesubtitle1">
    <w:name w:val="pagesubtitle1"/>
    <w:basedOn w:val="DefaultParagraphFont"/>
    <w:rsid w:val="00636D31"/>
    <w:rPr>
      <w:b w:val="0"/>
      <w:bCs w:val="0"/>
      <w:color w:val="999999"/>
    </w:rPr>
  </w:style>
  <w:style w:type="character" w:styleId="Hyperlink">
    <w:name w:val="Hyperlink"/>
    <w:basedOn w:val="DefaultParagraphFont"/>
    <w:uiPriority w:val="99"/>
    <w:semiHidden/>
    <w:unhideWhenUsed/>
    <w:rsid w:val="00636D31"/>
    <w:rPr>
      <w:color w:val="0563C1"/>
      <w:u w:val="single"/>
    </w:rPr>
  </w:style>
  <w:style w:type="character" w:styleId="FollowedHyperlink">
    <w:name w:val="FollowedHyperlink"/>
    <w:basedOn w:val="DefaultParagraphFont"/>
    <w:uiPriority w:val="99"/>
    <w:semiHidden/>
    <w:unhideWhenUsed/>
    <w:rsid w:val="008A7F05"/>
    <w:rPr>
      <w:color w:val="800080" w:themeColor="followedHyperlink"/>
      <w:u w:val="single"/>
    </w:rPr>
  </w:style>
  <w:style w:type="paragraph" w:customStyle="1" w:styleId="Head22">
    <w:name w:val="Head 2.2"/>
    <w:basedOn w:val="Normal"/>
    <w:rsid w:val="003D2698"/>
    <w:pPr>
      <w:tabs>
        <w:tab w:val="left" w:pos="360"/>
      </w:tabs>
      <w:suppressAutoHyphens/>
      <w:spacing w:after="0" w:line="240" w:lineRule="auto"/>
      <w:ind w:left="360" w:hanging="360"/>
      <w:jc w:val="both"/>
    </w:pPr>
    <w:rPr>
      <w:rFonts w:ascii="Times New Roman" w:hAnsi="Times New Roman" w:cs="Times New Roman"/>
      <w:b/>
      <w:sz w:val="24"/>
      <w:szCs w:val="20"/>
      <w:lang w:val="en-US" w:eastAsia="en-US"/>
    </w:rPr>
  </w:style>
  <w:style w:type="paragraph" w:styleId="PlainText">
    <w:name w:val="Plain Text"/>
    <w:basedOn w:val="Normal"/>
    <w:link w:val="PlainTextChar"/>
    <w:uiPriority w:val="99"/>
    <w:semiHidden/>
    <w:unhideWhenUsed/>
    <w:rsid w:val="00DB2DED"/>
    <w:pPr>
      <w:spacing w:after="0" w:line="240" w:lineRule="auto"/>
    </w:pPr>
    <w:rPr>
      <w:rFonts w:eastAsiaTheme="minorHAnsi" w:cstheme="minorBidi"/>
      <w:szCs w:val="21"/>
      <w:lang w:val="en-US" w:eastAsia="en-US"/>
    </w:rPr>
  </w:style>
  <w:style w:type="character" w:customStyle="1" w:styleId="PlainTextChar">
    <w:name w:val="Plain Text Char"/>
    <w:basedOn w:val="DefaultParagraphFont"/>
    <w:link w:val="PlainText"/>
    <w:uiPriority w:val="99"/>
    <w:semiHidden/>
    <w:rsid w:val="00DB2DE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0957">
      <w:bodyDiv w:val="1"/>
      <w:marLeft w:val="0"/>
      <w:marRight w:val="0"/>
      <w:marTop w:val="0"/>
      <w:marBottom w:val="0"/>
      <w:divBdr>
        <w:top w:val="none" w:sz="0" w:space="0" w:color="auto"/>
        <w:left w:val="none" w:sz="0" w:space="0" w:color="auto"/>
        <w:bottom w:val="none" w:sz="0" w:space="0" w:color="auto"/>
        <w:right w:val="none" w:sz="0" w:space="0" w:color="auto"/>
      </w:divBdr>
    </w:div>
    <w:div w:id="136655893">
      <w:bodyDiv w:val="1"/>
      <w:marLeft w:val="0"/>
      <w:marRight w:val="0"/>
      <w:marTop w:val="0"/>
      <w:marBottom w:val="0"/>
      <w:divBdr>
        <w:top w:val="none" w:sz="0" w:space="0" w:color="auto"/>
        <w:left w:val="none" w:sz="0" w:space="0" w:color="auto"/>
        <w:bottom w:val="none" w:sz="0" w:space="0" w:color="auto"/>
        <w:right w:val="none" w:sz="0" w:space="0" w:color="auto"/>
      </w:divBdr>
    </w:div>
    <w:div w:id="228343721">
      <w:bodyDiv w:val="1"/>
      <w:marLeft w:val="0"/>
      <w:marRight w:val="0"/>
      <w:marTop w:val="0"/>
      <w:marBottom w:val="0"/>
      <w:divBdr>
        <w:top w:val="none" w:sz="0" w:space="0" w:color="auto"/>
        <w:left w:val="none" w:sz="0" w:space="0" w:color="auto"/>
        <w:bottom w:val="none" w:sz="0" w:space="0" w:color="auto"/>
        <w:right w:val="none" w:sz="0" w:space="0" w:color="auto"/>
      </w:divBdr>
    </w:div>
    <w:div w:id="330640030">
      <w:bodyDiv w:val="1"/>
      <w:marLeft w:val="0"/>
      <w:marRight w:val="0"/>
      <w:marTop w:val="0"/>
      <w:marBottom w:val="0"/>
      <w:divBdr>
        <w:top w:val="none" w:sz="0" w:space="0" w:color="auto"/>
        <w:left w:val="none" w:sz="0" w:space="0" w:color="auto"/>
        <w:bottom w:val="none" w:sz="0" w:space="0" w:color="auto"/>
        <w:right w:val="none" w:sz="0" w:space="0" w:color="auto"/>
      </w:divBdr>
    </w:div>
    <w:div w:id="842738892">
      <w:bodyDiv w:val="1"/>
      <w:marLeft w:val="0"/>
      <w:marRight w:val="0"/>
      <w:marTop w:val="0"/>
      <w:marBottom w:val="0"/>
      <w:divBdr>
        <w:top w:val="none" w:sz="0" w:space="0" w:color="auto"/>
        <w:left w:val="none" w:sz="0" w:space="0" w:color="auto"/>
        <w:bottom w:val="none" w:sz="0" w:space="0" w:color="auto"/>
        <w:right w:val="none" w:sz="0" w:space="0" w:color="auto"/>
      </w:divBdr>
    </w:div>
    <w:div w:id="1094862458">
      <w:bodyDiv w:val="1"/>
      <w:marLeft w:val="0"/>
      <w:marRight w:val="0"/>
      <w:marTop w:val="0"/>
      <w:marBottom w:val="0"/>
      <w:divBdr>
        <w:top w:val="none" w:sz="0" w:space="0" w:color="auto"/>
        <w:left w:val="none" w:sz="0" w:space="0" w:color="auto"/>
        <w:bottom w:val="none" w:sz="0" w:space="0" w:color="auto"/>
        <w:right w:val="none" w:sz="0" w:space="0" w:color="auto"/>
      </w:divBdr>
    </w:div>
    <w:div w:id="1441683447">
      <w:bodyDiv w:val="1"/>
      <w:marLeft w:val="0"/>
      <w:marRight w:val="0"/>
      <w:marTop w:val="0"/>
      <w:marBottom w:val="0"/>
      <w:divBdr>
        <w:top w:val="none" w:sz="0" w:space="0" w:color="auto"/>
        <w:left w:val="none" w:sz="0" w:space="0" w:color="auto"/>
        <w:bottom w:val="none" w:sz="0" w:space="0" w:color="auto"/>
        <w:right w:val="none" w:sz="0" w:space="0" w:color="auto"/>
      </w:divBdr>
    </w:div>
    <w:div w:id="1569803104">
      <w:bodyDiv w:val="1"/>
      <w:marLeft w:val="0"/>
      <w:marRight w:val="0"/>
      <w:marTop w:val="0"/>
      <w:marBottom w:val="0"/>
      <w:divBdr>
        <w:top w:val="none" w:sz="0" w:space="0" w:color="auto"/>
        <w:left w:val="none" w:sz="0" w:space="0" w:color="auto"/>
        <w:bottom w:val="none" w:sz="0" w:space="0" w:color="auto"/>
        <w:right w:val="none" w:sz="0" w:space="0" w:color="auto"/>
      </w:divBdr>
    </w:div>
    <w:div w:id="1645087268">
      <w:bodyDiv w:val="1"/>
      <w:marLeft w:val="0"/>
      <w:marRight w:val="0"/>
      <w:marTop w:val="0"/>
      <w:marBottom w:val="0"/>
      <w:divBdr>
        <w:top w:val="none" w:sz="0" w:space="0" w:color="auto"/>
        <w:left w:val="none" w:sz="0" w:space="0" w:color="auto"/>
        <w:bottom w:val="none" w:sz="0" w:space="0" w:color="auto"/>
        <w:right w:val="none" w:sz="0" w:space="0" w:color="auto"/>
      </w:divBdr>
    </w:div>
    <w:div w:id="1706248009">
      <w:bodyDiv w:val="1"/>
      <w:marLeft w:val="0"/>
      <w:marRight w:val="0"/>
      <w:marTop w:val="0"/>
      <w:marBottom w:val="0"/>
      <w:divBdr>
        <w:top w:val="none" w:sz="0" w:space="0" w:color="auto"/>
        <w:left w:val="none" w:sz="0" w:space="0" w:color="auto"/>
        <w:bottom w:val="none" w:sz="0" w:space="0" w:color="auto"/>
        <w:right w:val="none" w:sz="0" w:space="0" w:color="auto"/>
      </w:divBdr>
    </w:div>
    <w:div w:id="193790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eubam.org" TargetMode="External"/><Relationship Id="rId3" Type="http://schemas.microsoft.com/office/2007/relationships/stylesWithEffects" Target="stylesWithEffect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k.intel.com/ru/products/64593/Intel-Xeon-Processor-E5-2630-15M-Cache-2_30-GHz-7_20-GTs-Intel-QP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KUSHCHAK Sergiy</dc:creator>
  <cp:lastModifiedBy>KUSHCHAK Sergiy</cp:lastModifiedBy>
  <cp:revision>10</cp:revision>
  <dcterms:created xsi:type="dcterms:W3CDTF">2015-05-21T13:20:00Z</dcterms:created>
  <dcterms:modified xsi:type="dcterms:W3CDTF">2015-05-21T15:52:00Z</dcterms:modified>
</cp:coreProperties>
</file>