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B9B" w:rsidRPr="006B2B9B" w:rsidRDefault="006B2B9B" w:rsidP="006B2B9B">
      <w:pPr>
        <w:tabs>
          <w:tab w:val="left" w:pos="180"/>
          <w:tab w:val="left" w:pos="270"/>
          <w:tab w:val="left" w:pos="993"/>
        </w:tabs>
        <w:spacing w:line="240" w:lineRule="auto"/>
        <w:jc w:val="both"/>
        <w:rPr>
          <w:rFonts w:ascii="Arial" w:hAnsi="Arial" w:cs="Arial"/>
        </w:rPr>
      </w:pPr>
      <w:r w:rsidRPr="0001265A">
        <w:rPr>
          <w:rFonts w:ascii="Arial" w:hAnsi="Arial" w:cs="Arial"/>
          <w:lang w:val="uk-UA"/>
        </w:rPr>
        <w:t xml:space="preserve">Відповіді та коментарі щодо загальних та технічних вимог щодо тендеру </w:t>
      </w:r>
      <w:r w:rsidRPr="0001265A">
        <w:rPr>
          <w:rFonts w:ascii="Arial" w:hAnsi="Arial" w:cs="Arial"/>
          <w:lang w:val="en-US"/>
        </w:rPr>
        <w:t>UA</w:t>
      </w:r>
      <w:r w:rsidRPr="006B2B9B">
        <w:rPr>
          <w:rFonts w:ascii="Arial" w:hAnsi="Arial" w:cs="Arial"/>
        </w:rPr>
        <w:t>20</w:t>
      </w:r>
      <w:r w:rsidRPr="0001265A">
        <w:rPr>
          <w:rFonts w:ascii="Arial" w:hAnsi="Arial" w:cs="Arial"/>
        </w:rPr>
        <w:t>-201</w:t>
      </w:r>
      <w:r w:rsidRPr="006B2B9B">
        <w:rPr>
          <w:rFonts w:ascii="Arial" w:hAnsi="Arial" w:cs="Arial"/>
        </w:rPr>
        <w:t>5</w:t>
      </w:r>
      <w:r w:rsidRPr="0001265A">
        <w:rPr>
          <w:rFonts w:ascii="Arial" w:hAnsi="Arial" w:cs="Arial"/>
        </w:rPr>
        <w:t>-</w:t>
      </w:r>
      <w:r w:rsidRPr="006B2B9B">
        <w:rPr>
          <w:rFonts w:ascii="Arial" w:hAnsi="Arial" w:cs="Arial"/>
        </w:rPr>
        <w:t>021</w:t>
      </w:r>
    </w:p>
    <w:p w:rsidR="006B2B9B" w:rsidRPr="006B2B9B" w:rsidRDefault="006B2B9B" w:rsidP="0094475C">
      <w:pPr>
        <w:tabs>
          <w:tab w:val="left" w:pos="180"/>
          <w:tab w:val="left" w:pos="270"/>
          <w:tab w:val="left" w:pos="993"/>
        </w:tabs>
        <w:spacing w:after="0" w:line="240" w:lineRule="auto"/>
        <w:jc w:val="center"/>
        <w:rPr>
          <w:rFonts w:ascii="Arial" w:hAnsi="Arial" w:cs="Arial"/>
          <w:b/>
        </w:rPr>
      </w:pPr>
    </w:p>
    <w:p w:rsidR="00636D31" w:rsidRPr="00636D31" w:rsidRDefault="00636D31" w:rsidP="00636D31">
      <w:pPr>
        <w:tabs>
          <w:tab w:val="left" w:pos="180"/>
          <w:tab w:val="left" w:pos="270"/>
          <w:tab w:val="left" w:pos="993"/>
        </w:tabs>
        <w:spacing w:after="0" w:line="240" w:lineRule="auto"/>
        <w:jc w:val="both"/>
        <w:rPr>
          <w:rFonts w:ascii="Arial" w:hAnsi="Arial" w:cs="Arial"/>
          <w:lang w:val="en-US"/>
        </w:rPr>
      </w:pPr>
    </w:p>
    <w:p w:rsidR="00506CF3" w:rsidRDefault="00636D31" w:rsidP="00636D31">
      <w:pPr>
        <w:tabs>
          <w:tab w:val="left" w:pos="180"/>
          <w:tab w:val="left" w:pos="270"/>
          <w:tab w:val="left" w:pos="993"/>
        </w:tabs>
        <w:spacing w:after="0" w:line="240" w:lineRule="auto"/>
        <w:jc w:val="both"/>
        <w:rPr>
          <w:rFonts w:ascii="Arial" w:hAnsi="Arial" w:cs="Arial"/>
          <w:lang w:val="uk-UA"/>
        </w:rPr>
      </w:pPr>
      <w:r w:rsidRPr="006B2B9B">
        <w:rPr>
          <w:rFonts w:ascii="Arial" w:hAnsi="Arial" w:cs="Arial"/>
        </w:rPr>
        <w:t xml:space="preserve">1. </w:t>
      </w:r>
      <w:r w:rsidR="00506CF3">
        <w:rPr>
          <w:rFonts w:ascii="Arial" w:hAnsi="Arial" w:cs="Arial"/>
          <w:lang w:val="uk-UA"/>
        </w:rPr>
        <w:t>Позиція</w:t>
      </w:r>
      <w:r w:rsidR="00506CF3" w:rsidRPr="006B2B9B">
        <w:rPr>
          <w:rFonts w:ascii="Arial" w:hAnsi="Arial" w:cs="Arial"/>
          <w:b/>
          <w:bCs/>
        </w:rPr>
        <w:t xml:space="preserve"> </w:t>
      </w:r>
      <w:r w:rsidR="00506CF3" w:rsidRPr="00636D31">
        <w:rPr>
          <w:rFonts w:ascii="Arial" w:hAnsi="Arial" w:cs="Arial"/>
          <w:b/>
          <w:bCs/>
          <w:lang w:val="en-US"/>
        </w:rPr>
        <w:t>UA</w:t>
      </w:r>
      <w:r w:rsidR="00506CF3" w:rsidRPr="006B2B9B">
        <w:rPr>
          <w:rFonts w:ascii="Arial" w:hAnsi="Arial" w:cs="Arial"/>
          <w:b/>
          <w:bCs/>
        </w:rPr>
        <w:t>20-2015-021.5</w:t>
      </w:r>
      <w:r w:rsidR="00506CF3" w:rsidRPr="006B2B9B">
        <w:rPr>
          <w:rFonts w:ascii="Arial" w:hAnsi="Arial" w:cs="Arial"/>
        </w:rPr>
        <w:t xml:space="preserve">, </w:t>
      </w:r>
      <w:r w:rsidR="00506CF3">
        <w:rPr>
          <w:rFonts w:ascii="Arial" w:hAnsi="Arial" w:cs="Arial"/>
          <w:lang w:val="uk-UA"/>
        </w:rPr>
        <w:t>Пам</w:t>
      </w:r>
      <w:r w:rsidR="00506CF3" w:rsidRPr="006B2B9B">
        <w:rPr>
          <w:rFonts w:ascii="Arial" w:hAnsi="Arial" w:cs="Arial"/>
        </w:rPr>
        <w:t>’</w:t>
      </w:r>
      <w:r w:rsidR="00506CF3">
        <w:rPr>
          <w:rFonts w:ascii="Arial" w:hAnsi="Arial" w:cs="Arial"/>
          <w:lang w:val="uk-UA"/>
        </w:rPr>
        <w:t>ять</w:t>
      </w:r>
      <w:r w:rsidR="00506CF3" w:rsidRPr="006B2B9B">
        <w:rPr>
          <w:rFonts w:ascii="Arial" w:hAnsi="Arial" w:cs="Arial"/>
        </w:rPr>
        <w:t xml:space="preserve"> </w:t>
      </w:r>
      <w:r w:rsidR="00506CF3" w:rsidRPr="00636D31">
        <w:rPr>
          <w:rFonts w:ascii="Arial" w:hAnsi="Arial" w:cs="Arial"/>
          <w:lang w:val="en-US"/>
        </w:rPr>
        <w:t>DDR</w:t>
      </w:r>
      <w:r w:rsidR="00506CF3" w:rsidRPr="006B2B9B">
        <w:rPr>
          <w:rFonts w:ascii="Arial" w:hAnsi="Arial" w:cs="Arial"/>
        </w:rPr>
        <w:t>3</w:t>
      </w:r>
    </w:p>
    <w:p w:rsidR="00506CF3" w:rsidRPr="00506CF3" w:rsidRDefault="00506CF3" w:rsidP="00636D31">
      <w:pPr>
        <w:tabs>
          <w:tab w:val="left" w:pos="180"/>
          <w:tab w:val="left" w:pos="270"/>
          <w:tab w:val="left" w:pos="993"/>
        </w:tabs>
        <w:spacing w:after="0" w:line="240" w:lineRule="auto"/>
        <w:jc w:val="both"/>
        <w:rPr>
          <w:rFonts w:ascii="Arial" w:hAnsi="Arial" w:cs="Arial"/>
          <w:lang w:val="uk-UA"/>
        </w:rPr>
      </w:pPr>
      <w:r>
        <w:rPr>
          <w:rFonts w:ascii="Arial" w:hAnsi="Arial" w:cs="Arial"/>
          <w:lang w:val="uk-UA"/>
        </w:rPr>
        <w:t xml:space="preserve">З яким пристроєм (сервер </w:t>
      </w:r>
      <w:r w:rsidR="006B2B9B">
        <w:rPr>
          <w:rFonts w:ascii="Arial" w:hAnsi="Arial" w:cs="Arial"/>
          <w:lang w:val="uk-UA"/>
        </w:rPr>
        <w:t>а</w:t>
      </w:r>
      <w:r>
        <w:rPr>
          <w:rFonts w:ascii="Arial" w:hAnsi="Arial" w:cs="Arial"/>
          <w:lang w:val="uk-UA"/>
        </w:rPr>
        <w:t>бо компьютер) ця пам</w:t>
      </w:r>
      <w:r w:rsidRPr="00506CF3">
        <w:rPr>
          <w:rFonts w:ascii="Arial" w:hAnsi="Arial" w:cs="Arial"/>
        </w:rPr>
        <w:t>’</w:t>
      </w:r>
      <w:r>
        <w:rPr>
          <w:rFonts w:ascii="Arial" w:hAnsi="Arial" w:cs="Arial"/>
          <w:lang w:val="uk-UA"/>
        </w:rPr>
        <w:t>ять буде використовуватись? Будь ласка вкаж</w:t>
      </w:r>
      <w:r w:rsidR="006B2B9B">
        <w:rPr>
          <w:rFonts w:ascii="Arial" w:hAnsi="Arial" w:cs="Arial"/>
          <w:lang w:val="uk-UA"/>
        </w:rPr>
        <w:t>і</w:t>
      </w:r>
      <w:r>
        <w:rPr>
          <w:rFonts w:ascii="Arial" w:hAnsi="Arial" w:cs="Arial"/>
          <w:lang w:val="uk-UA"/>
        </w:rPr>
        <w:t>ть модель цього пристрою.</w:t>
      </w:r>
    </w:p>
    <w:p w:rsidR="00636D31" w:rsidRPr="00506CF3" w:rsidRDefault="00636D31" w:rsidP="00636D31">
      <w:pPr>
        <w:tabs>
          <w:tab w:val="left" w:pos="180"/>
          <w:tab w:val="left" w:pos="270"/>
          <w:tab w:val="left" w:pos="993"/>
        </w:tabs>
        <w:spacing w:after="0" w:line="240" w:lineRule="auto"/>
        <w:jc w:val="both"/>
        <w:rPr>
          <w:rFonts w:ascii="Arial" w:hAnsi="Arial" w:cs="Arial"/>
          <w:lang w:val="uk-UA"/>
        </w:rPr>
      </w:pPr>
    </w:p>
    <w:p w:rsidR="00506CF3" w:rsidRPr="00506CF3" w:rsidRDefault="00506CF3" w:rsidP="008A7F05">
      <w:pPr>
        <w:tabs>
          <w:tab w:val="left" w:pos="180"/>
          <w:tab w:val="left" w:pos="270"/>
          <w:tab w:val="left" w:pos="993"/>
        </w:tabs>
        <w:spacing w:after="0" w:line="240" w:lineRule="auto"/>
        <w:jc w:val="both"/>
        <w:rPr>
          <w:rFonts w:ascii="Arial" w:hAnsi="Arial" w:cs="Arial"/>
          <w:b/>
          <w:i/>
          <w:lang w:val="uk-UA"/>
        </w:rPr>
      </w:pPr>
      <w:r>
        <w:rPr>
          <w:rFonts w:ascii="Arial" w:hAnsi="Arial" w:cs="Arial"/>
          <w:b/>
          <w:i/>
          <w:lang w:val="uk-UA"/>
        </w:rPr>
        <w:t xml:space="preserve">Відповідь: </w:t>
      </w:r>
      <w:r w:rsidRPr="008A7F05">
        <w:rPr>
          <w:rFonts w:ascii="Arial" w:hAnsi="Arial" w:cs="Arial"/>
          <w:b/>
          <w:i/>
          <w:lang w:val="en-US"/>
        </w:rPr>
        <w:t>Desktop</w:t>
      </w:r>
      <w:r w:rsidRPr="00506CF3">
        <w:rPr>
          <w:rFonts w:ascii="Arial" w:hAnsi="Arial" w:cs="Arial"/>
          <w:b/>
          <w:i/>
          <w:lang w:val="uk-UA"/>
        </w:rPr>
        <w:t xml:space="preserve"> </w:t>
      </w:r>
      <w:r w:rsidRPr="008A7F05">
        <w:rPr>
          <w:rFonts w:ascii="Arial" w:hAnsi="Arial" w:cs="Arial"/>
          <w:b/>
          <w:i/>
          <w:lang w:val="en-US"/>
        </w:rPr>
        <w:t>Dell</w:t>
      </w:r>
      <w:r w:rsidRPr="00506CF3">
        <w:rPr>
          <w:rFonts w:ascii="Arial" w:hAnsi="Arial" w:cs="Arial"/>
          <w:b/>
          <w:i/>
          <w:lang w:val="uk-UA"/>
        </w:rPr>
        <w:t xml:space="preserve"> </w:t>
      </w:r>
      <w:proofErr w:type="spellStart"/>
      <w:r w:rsidRPr="008A7F05">
        <w:rPr>
          <w:rFonts w:ascii="Arial" w:hAnsi="Arial" w:cs="Arial"/>
          <w:b/>
          <w:i/>
          <w:lang w:val="en-US"/>
        </w:rPr>
        <w:t>Optiplex</w:t>
      </w:r>
      <w:proofErr w:type="spellEnd"/>
      <w:r w:rsidRPr="00506CF3">
        <w:rPr>
          <w:rFonts w:ascii="Arial" w:hAnsi="Arial" w:cs="Arial"/>
          <w:b/>
          <w:i/>
          <w:lang w:val="uk-UA"/>
        </w:rPr>
        <w:t xml:space="preserve"> 980/990</w:t>
      </w:r>
    </w:p>
    <w:p w:rsidR="00636D31" w:rsidRDefault="00636D31" w:rsidP="00636D31">
      <w:pPr>
        <w:tabs>
          <w:tab w:val="left" w:pos="180"/>
          <w:tab w:val="left" w:pos="270"/>
          <w:tab w:val="left" w:pos="993"/>
        </w:tabs>
        <w:spacing w:after="0" w:line="240" w:lineRule="auto"/>
        <w:jc w:val="both"/>
        <w:rPr>
          <w:rFonts w:ascii="Arial" w:hAnsi="Arial" w:cs="Arial"/>
          <w:lang w:val="en-US"/>
        </w:rPr>
      </w:pPr>
    </w:p>
    <w:p w:rsidR="00636D31" w:rsidRPr="00636D31" w:rsidRDefault="00636D31" w:rsidP="00636D31">
      <w:pPr>
        <w:tabs>
          <w:tab w:val="left" w:pos="180"/>
          <w:tab w:val="left" w:pos="270"/>
          <w:tab w:val="left" w:pos="993"/>
        </w:tabs>
        <w:spacing w:after="0" w:line="240" w:lineRule="auto"/>
        <w:jc w:val="both"/>
        <w:rPr>
          <w:rFonts w:ascii="Arial" w:hAnsi="Arial" w:cs="Arial"/>
          <w:lang w:val="en-US"/>
        </w:rPr>
      </w:pPr>
    </w:p>
    <w:p w:rsidR="00506CF3" w:rsidRDefault="00636D31" w:rsidP="00506CF3">
      <w:pPr>
        <w:tabs>
          <w:tab w:val="left" w:pos="180"/>
          <w:tab w:val="left" w:pos="270"/>
          <w:tab w:val="left" w:pos="993"/>
        </w:tabs>
        <w:spacing w:after="0" w:line="240" w:lineRule="auto"/>
        <w:jc w:val="both"/>
        <w:rPr>
          <w:rFonts w:ascii="Arial" w:hAnsi="Arial" w:cs="Arial"/>
          <w:lang w:val="uk-UA"/>
        </w:rPr>
      </w:pPr>
      <w:r w:rsidRPr="006B2B9B">
        <w:rPr>
          <w:rFonts w:ascii="Arial" w:hAnsi="Arial" w:cs="Arial"/>
        </w:rPr>
        <w:t xml:space="preserve">2. </w:t>
      </w:r>
      <w:r w:rsidR="00506CF3">
        <w:rPr>
          <w:rFonts w:ascii="Arial" w:hAnsi="Arial" w:cs="Arial"/>
          <w:lang w:val="uk-UA"/>
        </w:rPr>
        <w:t>Позиція</w:t>
      </w:r>
      <w:r w:rsidR="00506CF3" w:rsidRPr="00506CF3">
        <w:rPr>
          <w:rFonts w:ascii="Arial" w:hAnsi="Arial" w:cs="Arial"/>
          <w:b/>
          <w:bCs/>
        </w:rPr>
        <w:t xml:space="preserve"> </w:t>
      </w:r>
      <w:r w:rsidR="00506CF3" w:rsidRPr="00636D31">
        <w:rPr>
          <w:rFonts w:ascii="Arial" w:hAnsi="Arial" w:cs="Arial"/>
          <w:b/>
          <w:bCs/>
          <w:lang w:val="en-US"/>
        </w:rPr>
        <w:t>UA</w:t>
      </w:r>
      <w:r w:rsidR="00506CF3" w:rsidRPr="00506CF3">
        <w:rPr>
          <w:rFonts w:ascii="Arial" w:hAnsi="Arial" w:cs="Arial"/>
          <w:b/>
          <w:bCs/>
        </w:rPr>
        <w:t>20-2015-021.</w:t>
      </w:r>
      <w:r w:rsidR="00506CF3">
        <w:rPr>
          <w:rFonts w:ascii="Arial" w:hAnsi="Arial" w:cs="Arial"/>
          <w:b/>
          <w:bCs/>
          <w:lang w:val="uk-UA"/>
        </w:rPr>
        <w:t>7</w:t>
      </w:r>
      <w:r w:rsidR="00506CF3" w:rsidRPr="00506CF3">
        <w:rPr>
          <w:rFonts w:ascii="Arial" w:hAnsi="Arial" w:cs="Arial"/>
        </w:rPr>
        <w:t xml:space="preserve">, </w:t>
      </w:r>
      <w:r w:rsidR="00506CF3">
        <w:rPr>
          <w:rFonts w:ascii="Arial" w:hAnsi="Arial" w:cs="Arial"/>
          <w:lang w:val="uk-UA"/>
        </w:rPr>
        <w:t>Жорсткий диск</w:t>
      </w:r>
    </w:p>
    <w:p w:rsidR="00506CF3" w:rsidRPr="00506CF3" w:rsidRDefault="00506CF3" w:rsidP="00506CF3">
      <w:pPr>
        <w:tabs>
          <w:tab w:val="left" w:pos="180"/>
          <w:tab w:val="left" w:pos="270"/>
          <w:tab w:val="left" w:pos="993"/>
        </w:tabs>
        <w:spacing w:after="0" w:line="240" w:lineRule="auto"/>
        <w:jc w:val="both"/>
        <w:rPr>
          <w:rFonts w:ascii="Arial" w:hAnsi="Arial" w:cs="Arial"/>
          <w:lang w:val="uk-UA"/>
        </w:rPr>
      </w:pPr>
      <w:r>
        <w:rPr>
          <w:rFonts w:ascii="Arial" w:hAnsi="Arial" w:cs="Arial"/>
          <w:lang w:val="uk-UA"/>
        </w:rPr>
        <w:t>Будь ласка вкаж</w:t>
      </w:r>
      <w:r w:rsidR="006B2B9B">
        <w:rPr>
          <w:rFonts w:ascii="Arial" w:hAnsi="Arial" w:cs="Arial"/>
          <w:lang w:val="uk-UA"/>
        </w:rPr>
        <w:t>і</w:t>
      </w:r>
      <w:r>
        <w:rPr>
          <w:rFonts w:ascii="Arial" w:hAnsi="Arial" w:cs="Arial"/>
          <w:lang w:val="uk-UA"/>
        </w:rPr>
        <w:t>ть модель пристрою, де цей жорсткий диск буде використовуватись.</w:t>
      </w:r>
    </w:p>
    <w:p w:rsidR="00506CF3" w:rsidRPr="00506CF3" w:rsidRDefault="00506CF3" w:rsidP="00636D31">
      <w:pPr>
        <w:tabs>
          <w:tab w:val="left" w:pos="180"/>
          <w:tab w:val="left" w:pos="270"/>
          <w:tab w:val="left" w:pos="993"/>
        </w:tabs>
        <w:spacing w:after="0" w:line="240" w:lineRule="auto"/>
        <w:jc w:val="both"/>
        <w:rPr>
          <w:rFonts w:ascii="Arial" w:hAnsi="Arial" w:cs="Arial"/>
          <w:lang w:val="uk-UA"/>
        </w:rPr>
      </w:pPr>
    </w:p>
    <w:p w:rsidR="00CA0833" w:rsidRPr="008A7F05" w:rsidRDefault="00CA0833" w:rsidP="00CA0833">
      <w:pPr>
        <w:tabs>
          <w:tab w:val="left" w:pos="180"/>
          <w:tab w:val="left" w:pos="270"/>
          <w:tab w:val="left" w:pos="993"/>
        </w:tabs>
        <w:spacing w:after="0" w:line="240" w:lineRule="auto"/>
        <w:jc w:val="both"/>
        <w:rPr>
          <w:rFonts w:ascii="Arial" w:hAnsi="Arial" w:cs="Arial"/>
          <w:b/>
          <w:i/>
          <w:lang w:val="en-US"/>
        </w:rPr>
      </w:pPr>
      <w:r>
        <w:rPr>
          <w:rFonts w:ascii="Arial" w:hAnsi="Arial" w:cs="Arial"/>
          <w:b/>
          <w:i/>
          <w:lang w:val="uk-UA"/>
        </w:rPr>
        <w:t xml:space="preserve">Відповідь: </w:t>
      </w:r>
      <w:r w:rsidRPr="008A7F05">
        <w:rPr>
          <w:rStyle w:val="pagesubtitle1"/>
          <w:rFonts w:ascii="Arial" w:hAnsi="Arial" w:cs="Arial"/>
          <w:b/>
          <w:i/>
          <w:color w:val="auto"/>
          <w:lang w:val="en-US"/>
        </w:rPr>
        <w:t xml:space="preserve">My Book Premium Edition II </w:t>
      </w:r>
      <w:r w:rsidRPr="008A7F05">
        <w:rPr>
          <w:rFonts w:ascii="Arial" w:hAnsi="Arial" w:cs="Arial"/>
          <w:b/>
          <w:i/>
          <w:lang w:val="en-US"/>
        </w:rPr>
        <w:t>WD1000C033-000</w:t>
      </w:r>
    </w:p>
    <w:p w:rsidR="00636D31" w:rsidRDefault="00636D31" w:rsidP="00636D31">
      <w:pPr>
        <w:tabs>
          <w:tab w:val="left" w:pos="180"/>
          <w:tab w:val="left" w:pos="270"/>
          <w:tab w:val="left" w:pos="993"/>
        </w:tabs>
        <w:spacing w:after="0" w:line="240" w:lineRule="auto"/>
        <w:jc w:val="both"/>
        <w:rPr>
          <w:rFonts w:ascii="Arial" w:hAnsi="Arial" w:cs="Arial"/>
          <w:lang w:val="en-US"/>
        </w:rPr>
      </w:pPr>
    </w:p>
    <w:p w:rsidR="00636D31" w:rsidRDefault="00636D31" w:rsidP="00636D31">
      <w:pPr>
        <w:tabs>
          <w:tab w:val="left" w:pos="180"/>
          <w:tab w:val="left" w:pos="270"/>
          <w:tab w:val="left" w:pos="993"/>
        </w:tabs>
        <w:spacing w:after="0" w:line="240" w:lineRule="auto"/>
        <w:jc w:val="both"/>
        <w:rPr>
          <w:rFonts w:ascii="Arial" w:hAnsi="Arial" w:cs="Arial"/>
          <w:lang w:val="en-US"/>
        </w:rPr>
      </w:pPr>
    </w:p>
    <w:p w:rsidR="00CA0833" w:rsidRPr="00CA0833" w:rsidRDefault="00636D31" w:rsidP="00636D31">
      <w:pPr>
        <w:tabs>
          <w:tab w:val="left" w:pos="180"/>
          <w:tab w:val="left" w:pos="270"/>
          <w:tab w:val="left" w:pos="993"/>
        </w:tabs>
        <w:spacing w:after="0" w:line="240" w:lineRule="auto"/>
        <w:jc w:val="both"/>
        <w:rPr>
          <w:rFonts w:ascii="Arial" w:hAnsi="Arial" w:cs="Arial"/>
          <w:lang w:val="uk-UA"/>
        </w:rPr>
      </w:pPr>
      <w:r w:rsidRPr="006B2B9B">
        <w:rPr>
          <w:rFonts w:ascii="Arial" w:hAnsi="Arial" w:cs="Arial"/>
        </w:rPr>
        <w:t xml:space="preserve">3. </w:t>
      </w:r>
      <w:r w:rsidR="00CA0833">
        <w:rPr>
          <w:rFonts w:ascii="Arial" w:hAnsi="Arial" w:cs="Arial"/>
          <w:lang w:val="uk-UA"/>
        </w:rPr>
        <w:t>Які вимоги до ЦП (процесорів) всіх трьох серверів? Кількість ядер, частота?</w:t>
      </w:r>
    </w:p>
    <w:p w:rsidR="00636D31" w:rsidRDefault="00636D31" w:rsidP="00636D31">
      <w:pPr>
        <w:tabs>
          <w:tab w:val="left" w:pos="180"/>
          <w:tab w:val="left" w:pos="270"/>
          <w:tab w:val="left" w:pos="993"/>
        </w:tabs>
        <w:spacing w:after="0" w:line="240" w:lineRule="auto"/>
        <w:jc w:val="both"/>
        <w:rPr>
          <w:rFonts w:ascii="Arial" w:hAnsi="Arial" w:cs="Arial"/>
          <w:lang w:val="uk-UA"/>
        </w:rPr>
      </w:pPr>
    </w:p>
    <w:p w:rsidR="00CA0833" w:rsidRPr="00CA0833" w:rsidRDefault="00CA0833" w:rsidP="00636D31">
      <w:pPr>
        <w:tabs>
          <w:tab w:val="left" w:pos="180"/>
          <w:tab w:val="left" w:pos="270"/>
          <w:tab w:val="left" w:pos="993"/>
        </w:tabs>
        <w:spacing w:after="0" w:line="240" w:lineRule="auto"/>
        <w:jc w:val="both"/>
        <w:rPr>
          <w:rFonts w:ascii="Arial" w:hAnsi="Arial" w:cs="Arial"/>
          <w:b/>
          <w:i/>
          <w:lang w:val="uk-UA"/>
        </w:rPr>
      </w:pPr>
      <w:r w:rsidRPr="00CA0833">
        <w:rPr>
          <w:rFonts w:ascii="Arial" w:hAnsi="Arial" w:cs="Arial"/>
          <w:b/>
          <w:i/>
          <w:lang w:val="uk-UA"/>
        </w:rPr>
        <w:t>Відповідь:</w:t>
      </w:r>
    </w:p>
    <w:p w:rsidR="00CA0833" w:rsidRPr="006B2B9B" w:rsidRDefault="00FC3DB3" w:rsidP="00CA0833">
      <w:pPr>
        <w:spacing w:after="0" w:line="240" w:lineRule="auto"/>
        <w:rPr>
          <w:rFonts w:ascii="Arial" w:hAnsi="Arial" w:cs="Arial"/>
          <w:b/>
          <w:i/>
          <w:lang w:val="uk-UA"/>
        </w:rPr>
      </w:pPr>
      <w:hyperlink r:id="rId6" w:history="1">
        <w:r w:rsidR="00CA0833" w:rsidRPr="008A7F05">
          <w:rPr>
            <w:rStyle w:val="Hyperlink"/>
            <w:rFonts w:ascii="Arial" w:hAnsi="Arial" w:cs="Arial"/>
            <w:b/>
            <w:i/>
            <w:color w:val="auto"/>
            <w:u w:val="none"/>
            <w:lang w:val="en-US"/>
          </w:rPr>
          <w:t>Intel</w:t>
        </w:r>
        <w:r w:rsidR="00CA0833" w:rsidRPr="006B2B9B">
          <w:rPr>
            <w:rStyle w:val="Hyperlink"/>
            <w:rFonts w:ascii="Arial" w:hAnsi="Arial" w:cs="Arial"/>
            <w:b/>
            <w:i/>
            <w:color w:val="auto"/>
            <w:u w:val="none"/>
            <w:lang w:val="uk-UA"/>
          </w:rPr>
          <w:t xml:space="preserve">® </w:t>
        </w:r>
        <w:r w:rsidR="00CA0833" w:rsidRPr="008A7F05">
          <w:rPr>
            <w:rStyle w:val="Hyperlink"/>
            <w:rFonts w:ascii="Arial" w:hAnsi="Arial" w:cs="Arial"/>
            <w:b/>
            <w:i/>
            <w:color w:val="auto"/>
            <w:u w:val="none"/>
            <w:lang w:val="en-US"/>
          </w:rPr>
          <w:t>Xeon</w:t>
        </w:r>
        <w:r w:rsidR="00CA0833" w:rsidRPr="006B2B9B">
          <w:rPr>
            <w:rStyle w:val="Hyperlink"/>
            <w:rFonts w:ascii="Arial" w:hAnsi="Arial" w:cs="Arial"/>
            <w:b/>
            <w:i/>
            <w:color w:val="auto"/>
            <w:u w:val="none"/>
            <w:lang w:val="uk-UA"/>
          </w:rPr>
          <w:t xml:space="preserve">® </w:t>
        </w:r>
        <w:r w:rsidR="00CA0833" w:rsidRPr="008A7F05">
          <w:rPr>
            <w:rStyle w:val="Hyperlink"/>
            <w:rFonts w:ascii="Arial" w:hAnsi="Arial" w:cs="Arial"/>
            <w:b/>
            <w:i/>
            <w:color w:val="auto"/>
            <w:u w:val="none"/>
            <w:lang w:val="en-US"/>
          </w:rPr>
          <w:t>Processor</w:t>
        </w:r>
        <w:r w:rsidR="00CA0833" w:rsidRPr="006B2B9B">
          <w:rPr>
            <w:rStyle w:val="Hyperlink"/>
            <w:rFonts w:ascii="Arial" w:hAnsi="Arial" w:cs="Arial"/>
            <w:b/>
            <w:i/>
            <w:color w:val="auto"/>
            <w:u w:val="none"/>
            <w:lang w:val="uk-UA"/>
          </w:rPr>
          <w:t xml:space="preserve"> </w:t>
        </w:r>
        <w:r w:rsidR="00CA0833" w:rsidRPr="008A7F05">
          <w:rPr>
            <w:rStyle w:val="Hyperlink"/>
            <w:rFonts w:ascii="Arial" w:hAnsi="Arial" w:cs="Arial"/>
            <w:b/>
            <w:i/>
            <w:color w:val="auto"/>
            <w:u w:val="none"/>
            <w:lang w:val="en-US"/>
          </w:rPr>
          <w:t>E</w:t>
        </w:r>
        <w:r w:rsidR="00CA0833" w:rsidRPr="006B2B9B">
          <w:rPr>
            <w:rStyle w:val="Hyperlink"/>
            <w:rFonts w:ascii="Arial" w:hAnsi="Arial" w:cs="Arial"/>
            <w:b/>
            <w:i/>
            <w:color w:val="auto"/>
            <w:u w:val="none"/>
            <w:lang w:val="uk-UA"/>
          </w:rPr>
          <w:t xml:space="preserve">5-2630 </w:t>
        </w:r>
        <w:r w:rsidR="00CA0833" w:rsidRPr="006B2B9B">
          <w:rPr>
            <w:rFonts w:ascii="Arial" w:hAnsi="Arial" w:cs="Arial"/>
            <w:b/>
            <w:i/>
            <w:lang w:val="uk-UA"/>
          </w:rPr>
          <w:br/>
        </w:r>
        <w:r w:rsidR="00CA0833" w:rsidRPr="006B2B9B">
          <w:rPr>
            <w:rStyle w:val="Hyperlink"/>
            <w:rFonts w:ascii="Arial" w:hAnsi="Arial" w:cs="Arial"/>
            <w:b/>
            <w:i/>
            <w:color w:val="auto"/>
            <w:u w:val="none"/>
            <w:lang w:val="uk-UA"/>
          </w:rPr>
          <w:t>(15</w:t>
        </w:r>
        <w:r w:rsidR="00CA0833" w:rsidRPr="008A7F05">
          <w:rPr>
            <w:rStyle w:val="Hyperlink"/>
            <w:rFonts w:ascii="Arial" w:hAnsi="Arial" w:cs="Arial"/>
            <w:b/>
            <w:i/>
            <w:color w:val="auto"/>
            <w:u w:val="none"/>
            <w:lang w:val="en-US"/>
          </w:rPr>
          <w:t>M</w:t>
        </w:r>
        <w:r w:rsidR="00CA0833" w:rsidRPr="006B2B9B">
          <w:rPr>
            <w:rStyle w:val="Hyperlink"/>
            <w:rFonts w:ascii="Arial" w:hAnsi="Arial" w:cs="Arial"/>
            <w:b/>
            <w:i/>
            <w:color w:val="auto"/>
            <w:u w:val="none"/>
            <w:lang w:val="uk-UA"/>
          </w:rPr>
          <w:t xml:space="preserve"> </w:t>
        </w:r>
        <w:r w:rsidR="00CA0833" w:rsidRPr="008A7F05">
          <w:rPr>
            <w:rStyle w:val="Hyperlink"/>
            <w:rFonts w:ascii="Arial" w:hAnsi="Arial" w:cs="Arial"/>
            <w:b/>
            <w:i/>
            <w:color w:val="auto"/>
            <w:u w:val="none"/>
            <w:lang w:val="en-US"/>
          </w:rPr>
          <w:t>Cache</w:t>
        </w:r>
        <w:r w:rsidR="00CA0833" w:rsidRPr="006B2B9B">
          <w:rPr>
            <w:rStyle w:val="Hyperlink"/>
            <w:rFonts w:ascii="Arial" w:hAnsi="Arial" w:cs="Arial"/>
            <w:b/>
            <w:i/>
            <w:color w:val="auto"/>
            <w:u w:val="none"/>
            <w:lang w:val="uk-UA"/>
          </w:rPr>
          <w:t xml:space="preserve">, 2.30 </w:t>
        </w:r>
        <w:r w:rsidR="00CA0833" w:rsidRPr="008A7F05">
          <w:rPr>
            <w:rStyle w:val="Hyperlink"/>
            <w:rFonts w:ascii="Arial" w:hAnsi="Arial" w:cs="Arial"/>
            <w:b/>
            <w:i/>
            <w:color w:val="auto"/>
            <w:u w:val="none"/>
            <w:lang w:val="en-US"/>
          </w:rPr>
          <w:t>GHz</w:t>
        </w:r>
        <w:r w:rsidR="00CA0833" w:rsidRPr="006B2B9B">
          <w:rPr>
            <w:rStyle w:val="Hyperlink"/>
            <w:rFonts w:ascii="Arial" w:hAnsi="Arial" w:cs="Arial"/>
            <w:b/>
            <w:i/>
            <w:color w:val="auto"/>
            <w:u w:val="none"/>
            <w:lang w:val="uk-UA"/>
          </w:rPr>
          <w:t xml:space="preserve">, 7.20 </w:t>
        </w:r>
        <w:r w:rsidR="00CA0833" w:rsidRPr="008A7F05">
          <w:rPr>
            <w:rStyle w:val="Hyperlink"/>
            <w:rFonts w:ascii="Arial" w:hAnsi="Arial" w:cs="Arial"/>
            <w:b/>
            <w:i/>
            <w:color w:val="auto"/>
            <w:u w:val="none"/>
            <w:lang w:val="en-US"/>
          </w:rPr>
          <w:t>GT</w:t>
        </w:r>
        <w:r w:rsidR="00CA0833" w:rsidRPr="006B2B9B">
          <w:rPr>
            <w:rStyle w:val="Hyperlink"/>
            <w:rFonts w:ascii="Arial" w:hAnsi="Arial" w:cs="Arial"/>
            <w:b/>
            <w:i/>
            <w:color w:val="auto"/>
            <w:u w:val="none"/>
            <w:lang w:val="uk-UA"/>
          </w:rPr>
          <w:t>/</w:t>
        </w:r>
        <w:r w:rsidR="00CA0833" w:rsidRPr="008A7F05">
          <w:rPr>
            <w:rStyle w:val="Hyperlink"/>
            <w:rFonts w:ascii="Arial" w:hAnsi="Arial" w:cs="Arial"/>
            <w:b/>
            <w:i/>
            <w:color w:val="auto"/>
            <w:u w:val="none"/>
            <w:lang w:val="en-US"/>
          </w:rPr>
          <w:t>s</w:t>
        </w:r>
        <w:r w:rsidR="00CA0833" w:rsidRPr="006B2B9B">
          <w:rPr>
            <w:rStyle w:val="Hyperlink"/>
            <w:rFonts w:ascii="Arial" w:hAnsi="Arial" w:cs="Arial"/>
            <w:b/>
            <w:i/>
            <w:color w:val="auto"/>
            <w:u w:val="none"/>
            <w:lang w:val="uk-UA"/>
          </w:rPr>
          <w:t xml:space="preserve"> </w:t>
        </w:r>
        <w:r w:rsidR="00CA0833" w:rsidRPr="008A7F05">
          <w:rPr>
            <w:rStyle w:val="Hyperlink"/>
            <w:rFonts w:ascii="Arial" w:hAnsi="Arial" w:cs="Arial"/>
            <w:b/>
            <w:i/>
            <w:color w:val="auto"/>
            <w:u w:val="none"/>
            <w:lang w:val="en-US"/>
          </w:rPr>
          <w:t>Intel</w:t>
        </w:r>
        <w:r w:rsidR="00CA0833" w:rsidRPr="006B2B9B">
          <w:rPr>
            <w:rStyle w:val="Hyperlink"/>
            <w:rFonts w:ascii="Arial" w:hAnsi="Arial" w:cs="Arial"/>
            <w:b/>
            <w:i/>
            <w:color w:val="auto"/>
            <w:u w:val="none"/>
            <w:lang w:val="uk-UA"/>
          </w:rPr>
          <w:t xml:space="preserve">® </w:t>
        </w:r>
        <w:r w:rsidR="00CA0833" w:rsidRPr="008A7F05">
          <w:rPr>
            <w:rStyle w:val="Hyperlink"/>
            <w:rFonts w:ascii="Arial" w:hAnsi="Arial" w:cs="Arial"/>
            <w:b/>
            <w:i/>
            <w:color w:val="auto"/>
            <w:u w:val="none"/>
            <w:lang w:val="en-US"/>
          </w:rPr>
          <w:t>QPI</w:t>
        </w:r>
        <w:r w:rsidR="00CA0833" w:rsidRPr="006B2B9B">
          <w:rPr>
            <w:rStyle w:val="Hyperlink"/>
            <w:rFonts w:ascii="Arial" w:hAnsi="Arial" w:cs="Arial"/>
            <w:b/>
            <w:i/>
            <w:color w:val="auto"/>
            <w:u w:val="none"/>
            <w:lang w:val="uk-UA"/>
          </w:rPr>
          <w:t>)</w:t>
        </w:r>
      </w:hyperlink>
    </w:p>
    <w:p w:rsidR="00636D31" w:rsidRDefault="00636D31" w:rsidP="00636D31">
      <w:pPr>
        <w:tabs>
          <w:tab w:val="left" w:pos="180"/>
          <w:tab w:val="left" w:pos="270"/>
          <w:tab w:val="left" w:pos="993"/>
        </w:tabs>
        <w:spacing w:after="0" w:line="240" w:lineRule="auto"/>
        <w:jc w:val="both"/>
        <w:rPr>
          <w:rFonts w:ascii="Arial" w:hAnsi="Arial" w:cs="Arial"/>
          <w:lang w:val="uk-UA"/>
        </w:rPr>
      </w:pPr>
    </w:p>
    <w:p w:rsidR="006B2B9B" w:rsidRPr="006B2B9B" w:rsidRDefault="006B2B9B" w:rsidP="00636D31">
      <w:pPr>
        <w:tabs>
          <w:tab w:val="left" w:pos="180"/>
          <w:tab w:val="left" w:pos="270"/>
          <w:tab w:val="left" w:pos="993"/>
        </w:tabs>
        <w:spacing w:after="0" w:line="240" w:lineRule="auto"/>
        <w:jc w:val="both"/>
        <w:rPr>
          <w:rFonts w:ascii="Arial" w:hAnsi="Arial" w:cs="Arial"/>
          <w:lang w:val="uk-UA"/>
        </w:rPr>
      </w:pPr>
    </w:p>
    <w:p w:rsidR="008A7F05" w:rsidRPr="00CA0833" w:rsidRDefault="008A7F05" w:rsidP="008A7F05">
      <w:pPr>
        <w:tabs>
          <w:tab w:val="left" w:pos="180"/>
          <w:tab w:val="left" w:pos="270"/>
          <w:tab w:val="left" w:pos="993"/>
        </w:tabs>
        <w:spacing w:after="0" w:line="240" w:lineRule="auto"/>
        <w:rPr>
          <w:rFonts w:ascii="Arial" w:hAnsi="Arial" w:cs="Arial"/>
          <w:lang w:val="uk-UA"/>
        </w:rPr>
      </w:pPr>
      <w:r w:rsidRPr="006B2B9B">
        <w:rPr>
          <w:rFonts w:ascii="Arial" w:hAnsi="Arial" w:cs="Arial"/>
        </w:rPr>
        <w:t xml:space="preserve">4. </w:t>
      </w:r>
      <w:r w:rsidR="00CA0833" w:rsidRPr="006B2B9B">
        <w:rPr>
          <w:rFonts w:ascii="Arial" w:hAnsi="Arial" w:cs="Arial"/>
          <w:bCs/>
          <w:lang w:val="uk-UA"/>
        </w:rPr>
        <w:t xml:space="preserve">Позиція </w:t>
      </w:r>
      <w:r w:rsidR="00CA0833" w:rsidRPr="008A7F05">
        <w:rPr>
          <w:rFonts w:ascii="Arial" w:hAnsi="Arial" w:cs="Arial"/>
          <w:b/>
          <w:bCs/>
          <w:lang w:val="en-US"/>
        </w:rPr>
        <w:t>UA</w:t>
      </w:r>
      <w:r w:rsidR="00CA0833" w:rsidRPr="00CA0833">
        <w:rPr>
          <w:rFonts w:ascii="Arial" w:hAnsi="Arial" w:cs="Arial"/>
          <w:b/>
          <w:bCs/>
        </w:rPr>
        <w:t>20-2015-021.8</w:t>
      </w:r>
      <w:r w:rsidR="00CA0833" w:rsidRPr="00CA0833">
        <w:rPr>
          <w:rFonts w:ascii="Arial" w:hAnsi="Arial" w:cs="Arial"/>
        </w:rPr>
        <w:t xml:space="preserve">, </w:t>
      </w:r>
      <w:r w:rsidR="00CA0833">
        <w:rPr>
          <w:rFonts w:ascii="Arial" w:hAnsi="Arial" w:cs="Arial"/>
          <w:lang w:val="uk-UA"/>
        </w:rPr>
        <w:t>Файловий сервер</w:t>
      </w:r>
      <w:r w:rsidR="00CA0833" w:rsidRPr="00CA0833">
        <w:rPr>
          <w:rFonts w:ascii="Arial" w:hAnsi="Arial" w:cs="Arial"/>
        </w:rPr>
        <w:t xml:space="preserve"> (6 </w:t>
      </w:r>
      <w:r w:rsidR="00CA0833" w:rsidRPr="008A7F05">
        <w:rPr>
          <w:rFonts w:ascii="Arial" w:hAnsi="Arial" w:cs="Arial"/>
          <w:lang w:val="en-US"/>
        </w:rPr>
        <w:t>TB</w:t>
      </w:r>
      <w:r w:rsidR="00CA0833" w:rsidRPr="00CA0833">
        <w:rPr>
          <w:rFonts w:ascii="Arial" w:hAnsi="Arial" w:cs="Arial"/>
        </w:rPr>
        <w:t>)</w:t>
      </w:r>
      <w:r w:rsidR="00CA0833" w:rsidRPr="00CA0833">
        <w:rPr>
          <w:rFonts w:ascii="Arial" w:hAnsi="Arial" w:cs="Arial"/>
        </w:rPr>
        <w:br/>
      </w:r>
      <w:r w:rsidR="00CA0833">
        <w:rPr>
          <w:rFonts w:ascii="Arial" w:hAnsi="Arial" w:cs="Arial"/>
          <w:lang w:val="uk-UA"/>
        </w:rPr>
        <w:t xml:space="preserve">Чи можемо ми включити до конфігурації диски </w:t>
      </w:r>
      <w:r w:rsidR="00CA0833" w:rsidRPr="00CA0833">
        <w:rPr>
          <w:rFonts w:ascii="Arial" w:hAnsi="Arial" w:cs="Arial"/>
        </w:rPr>
        <w:t>1</w:t>
      </w:r>
      <w:r w:rsidR="00CA0833" w:rsidRPr="008A7F05">
        <w:rPr>
          <w:rFonts w:ascii="Arial" w:hAnsi="Arial" w:cs="Arial"/>
          <w:lang w:val="en-US"/>
        </w:rPr>
        <w:t>TB</w:t>
      </w:r>
      <w:r w:rsidR="00CA0833" w:rsidRPr="00CA0833">
        <w:rPr>
          <w:rFonts w:ascii="Arial" w:hAnsi="Arial" w:cs="Arial"/>
        </w:rPr>
        <w:t xml:space="preserve"> </w:t>
      </w:r>
      <w:r w:rsidR="00CA0833" w:rsidRPr="008A7F05">
        <w:rPr>
          <w:rFonts w:ascii="Arial" w:hAnsi="Arial" w:cs="Arial"/>
          <w:lang w:val="en-US"/>
        </w:rPr>
        <w:t>SATA</w:t>
      </w:r>
      <w:r w:rsidR="00CA0833">
        <w:rPr>
          <w:rFonts w:ascii="Arial" w:hAnsi="Arial" w:cs="Arial"/>
          <w:lang w:val="uk-UA"/>
        </w:rPr>
        <w:t xml:space="preserve"> для «жорстких дисків для даних» замість дисків </w:t>
      </w:r>
      <w:r w:rsidR="00CA0833" w:rsidRPr="008A7F05">
        <w:rPr>
          <w:rFonts w:ascii="Arial" w:hAnsi="Arial" w:cs="Arial"/>
          <w:lang w:val="en-US"/>
        </w:rPr>
        <w:t>SAS</w:t>
      </w:r>
      <w:r w:rsidR="00CA0833">
        <w:rPr>
          <w:rFonts w:ascii="Arial" w:hAnsi="Arial" w:cs="Arial"/>
          <w:lang w:val="uk-UA"/>
        </w:rPr>
        <w:t>, що запитані?</w:t>
      </w:r>
    </w:p>
    <w:p w:rsidR="00CA0833" w:rsidRPr="00CA0833" w:rsidRDefault="00CA0833" w:rsidP="008A7F05">
      <w:pPr>
        <w:tabs>
          <w:tab w:val="left" w:pos="180"/>
          <w:tab w:val="left" w:pos="270"/>
          <w:tab w:val="left" w:pos="993"/>
        </w:tabs>
        <w:spacing w:after="0" w:line="240" w:lineRule="auto"/>
        <w:rPr>
          <w:rFonts w:ascii="Arial" w:hAnsi="Arial" w:cs="Arial"/>
          <w:lang w:val="uk-UA"/>
        </w:rPr>
      </w:pPr>
    </w:p>
    <w:p w:rsidR="00CA0833" w:rsidRDefault="00CA0833" w:rsidP="008A7F05">
      <w:pPr>
        <w:tabs>
          <w:tab w:val="left" w:pos="180"/>
          <w:tab w:val="left" w:pos="270"/>
          <w:tab w:val="left" w:pos="993"/>
        </w:tabs>
        <w:spacing w:after="0" w:line="240" w:lineRule="auto"/>
        <w:rPr>
          <w:rFonts w:ascii="Arial" w:hAnsi="Arial" w:cs="Arial"/>
          <w:b/>
          <w:i/>
          <w:lang w:val="uk-UA"/>
        </w:rPr>
      </w:pPr>
      <w:r>
        <w:rPr>
          <w:rFonts w:ascii="Arial" w:hAnsi="Arial" w:cs="Arial"/>
          <w:b/>
          <w:i/>
          <w:lang w:val="uk-UA"/>
        </w:rPr>
        <w:t>Відповідь: Ні.</w:t>
      </w:r>
    </w:p>
    <w:p w:rsidR="008A7F05" w:rsidRDefault="008A7F05" w:rsidP="008A7F05">
      <w:pPr>
        <w:tabs>
          <w:tab w:val="left" w:pos="180"/>
          <w:tab w:val="left" w:pos="270"/>
          <w:tab w:val="left" w:pos="993"/>
        </w:tabs>
        <w:spacing w:after="0" w:line="240" w:lineRule="auto"/>
        <w:rPr>
          <w:rFonts w:ascii="Arial" w:hAnsi="Arial" w:cs="Arial"/>
          <w:lang w:val="uk-UA"/>
        </w:rPr>
      </w:pPr>
    </w:p>
    <w:p w:rsidR="006B2B9B" w:rsidRPr="006B2B9B" w:rsidRDefault="006B2B9B" w:rsidP="008A7F05">
      <w:pPr>
        <w:tabs>
          <w:tab w:val="left" w:pos="180"/>
          <w:tab w:val="left" w:pos="270"/>
          <w:tab w:val="left" w:pos="993"/>
        </w:tabs>
        <w:spacing w:after="0" w:line="240" w:lineRule="auto"/>
        <w:rPr>
          <w:rFonts w:ascii="Arial" w:hAnsi="Arial" w:cs="Arial"/>
          <w:lang w:val="uk-UA"/>
        </w:rPr>
      </w:pPr>
    </w:p>
    <w:p w:rsidR="008A7F05" w:rsidRDefault="008A7F05" w:rsidP="006B2B9B">
      <w:pPr>
        <w:spacing w:after="0" w:line="240" w:lineRule="auto"/>
        <w:rPr>
          <w:rFonts w:ascii="Arial" w:hAnsi="Arial" w:cs="Arial"/>
          <w:lang w:val="uk-UA"/>
        </w:rPr>
      </w:pPr>
      <w:r w:rsidRPr="006B2B9B">
        <w:rPr>
          <w:rFonts w:ascii="Arial" w:hAnsi="Arial" w:cs="Arial"/>
        </w:rPr>
        <w:t xml:space="preserve">5. </w:t>
      </w:r>
      <w:r w:rsidR="00CA0833">
        <w:rPr>
          <w:rFonts w:ascii="Arial" w:hAnsi="Arial" w:cs="Arial"/>
          <w:lang w:val="uk-UA"/>
        </w:rPr>
        <w:t>Стосовно поз. 5 (Пам</w:t>
      </w:r>
      <w:r w:rsidR="00CA0833" w:rsidRPr="00CA0833">
        <w:rPr>
          <w:rFonts w:ascii="Arial" w:hAnsi="Arial" w:cs="Arial"/>
        </w:rPr>
        <w:t>’</w:t>
      </w:r>
      <w:r w:rsidR="00CA0833">
        <w:rPr>
          <w:rFonts w:ascii="Arial" w:hAnsi="Arial" w:cs="Arial"/>
          <w:lang w:val="uk-UA"/>
        </w:rPr>
        <w:t xml:space="preserve">ять </w:t>
      </w:r>
      <w:r w:rsidR="00CA0833" w:rsidRPr="008A7F05">
        <w:rPr>
          <w:rFonts w:ascii="Arial" w:hAnsi="Arial" w:cs="Arial"/>
          <w:lang w:val="en-GB"/>
        </w:rPr>
        <w:t>DDR</w:t>
      </w:r>
      <w:r w:rsidR="00CA0833" w:rsidRPr="00CA0833">
        <w:rPr>
          <w:rFonts w:ascii="Arial" w:hAnsi="Arial" w:cs="Arial"/>
        </w:rPr>
        <w:t>3</w:t>
      </w:r>
      <w:r w:rsidR="00CA0833">
        <w:rPr>
          <w:rFonts w:ascii="Arial" w:hAnsi="Arial" w:cs="Arial"/>
          <w:lang w:val="uk-UA"/>
        </w:rPr>
        <w:t>) та 7 (Жорсткий диск), будь ласка повідом</w:t>
      </w:r>
      <w:r w:rsidR="00B9563F">
        <w:rPr>
          <w:rFonts w:ascii="Arial" w:hAnsi="Arial" w:cs="Arial"/>
          <w:lang w:val="uk-UA"/>
        </w:rPr>
        <w:t>ь</w:t>
      </w:r>
      <w:r w:rsidR="00CA0833">
        <w:rPr>
          <w:rFonts w:ascii="Arial" w:hAnsi="Arial" w:cs="Arial"/>
          <w:lang w:val="uk-UA"/>
        </w:rPr>
        <w:t>те пристрої, в яких ці позиції будуть використовуватися.</w:t>
      </w:r>
    </w:p>
    <w:p w:rsidR="00CA0833" w:rsidRDefault="00CA0833" w:rsidP="008A7F05">
      <w:pPr>
        <w:tabs>
          <w:tab w:val="left" w:pos="180"/>
          <w:tab w:val="left" w:pos="270"/>
          <w:tab w:val="left" w:pos="993"/>
        </w:tabs>
        <w:spacing w:after="0" w:line="240" w:lineRule="auto"/>
        <w:rPr>
          <w:rFonts w:ascii="Arial" w:hAnsi="Arial" w:cs="Arial"/>
          <w:lang w:val="uk-UA"/>
        </w:rPr>
      </w:pPr>
    </w:p>
    <w:p w:rsidR="00CA0833" w:rsidRPr="00CA0833" w:rsidRDefault="00CA0833" w:rsidP="008A7F05">
      <w:pPr>
        <w:tabs>
          <w:tab w:val="left" w:pos="180"/>
          <w:tab w:val="left" w:pos="270"/>
          <w:tab w:val="left" w:pos="993"/>
        </w:tabs>
        <w:spacing w:after="0" w:line="240" w:lineRule="auto"/>
        <w:rPr>
          <w:rFonts w:ascii="Arial" w:hAnsi="Arial" w:cs="Arial"/>
          <w:b/>
          <w:i/>
          <w:lang w:val="uk-UA"/>
        </w:rPr>
      </w:pPr>
      <w:r w:rsidRPr="00CA0833">
        <w:rPr>
          <w:rFonts w:ascii="Arial" w:hAnsi="Arial" w:cs="Arial"/>
          <w:b/>
          <w:i/>
          <w:lang w:val="uk-UA"/>
        </w:rPr>
        <w:t>Відповідь:</w:t>
      </w:r>
    </w:p>
    <w:p w:rsidR="00CA0833" w:rsidRDefault="00CA0833" w:rsidP="008A7F05">
      <w:pPr>
        <w:tabs>
          <w:tab w:val="left" w:pos="180"/>
          <w:tab w:val="left" w:pos="270"/>
          <w:tab w:val="left" w:pos="993"/>
        </w:tabs>
        <w:spacing w:after="0" w:line="240" w:lineRule="auto"/>
        <w:rPr>
          <w:rFonts w:ascii="Arial" w:hAnsi="Arial" w:cs="Arial"/>
          <w:b/>
          <w:i/>
          <w:lang w:val="uk-UA"/>
        </w:rPr>
      </w:pPr>
      <w:r>
        <w:rPr>
          <w:rFonts w:ascii="Arial" w:hAnsi="Arial" w:cs="Arial"/>
          <w:b/>
          <w:i/>
          <w:lang w:val="uk-UA"/>
        </w:rPr>
        <w:t>Пам</w:t>
      </w:r>
      <w:r>
        <w:rPr>
          <w:rFonts w:ascii="Arial" w:hAnsi="Arial" w:cs="Arial"/>
          <w:b/>
          <w:i/>
          <w:lang w:val="en-US"/>
        </w:rPr>
        <w:t>’</w:t>
      </w:r>
      <w:r>
        <w:rPr>
          <w:rFonts w:ascii="Arial" w:hAnsi="Arial" w:cs="Arial"/>
          <w:b/>
          <w:i/>
          <w:lang w:val="uk-UA"/>
        </w:rPr>
        <w:t>ять</w:t>
      </w:r>
      <w:r w:rsidR="006B2B9B">
        <w:rPr>
          <w:rFonts w:ascii="Arial" w:hAnsi="Arial" w:cs="Arial"/>
          <w:b/>
          <w:i/>
          <w:lang w:val="uk-UA"/>
        </w:rPr>
        <w:t>:</w:t>
      </w:r>
      <w:r>
        <w:rPr>
          <w:rFonts w:ascii="Arial" w:hAnsi="Arial" w:cs="Arial"/>
          <w:b/>
          <w:i/>
          <w:lang w:val="uk-UA"/>
        </w:rPr>
        <w:t xml:space="preserve"> </w:t>
      </w:r>
      <w:r w:rsidRPr="008A7F05">
        <w:rPr>
          <w:rFonts w:ascii="Arial" w:hAnsi="Arial" w:cs="Arial"/>
          <w:b/>
          <w:i/>
          <w:lang w:val="en-US"/>
        </w:rPr>
        <w:t>Dell 980/990</w:t>
      </w:r>
    </w:p>
    <w:p w:rsidR="00CA0833" w:rsidRPr="00CA0833" w:rsidRDefault="00CA0833" w:rsidP="008A7F05">
      <w:pPr>
        <w:tabs>
          <w:tab w:val="left" w:pos="180"/>
          <w:tab w:val="left" w:pos="270"/>
          <w:tab w:val="left" w:pos="993"/>
        </w:tabs>
        <w:spacing w:after="0" w:line="240" w:lineRule="auto"/>
        <w:rPr>
          <w:rFonts w:ascii="Arial" w:hAnsi="Arial" w:cs="Arial"/>
          <w:lang w:val="uk-UA"/>
        </w:rPr>
      </w:pPr>
      <w:r>
        <w:rPr>
          <w:rStyle w:val="pagesubtitle1"/>
          <w:rFonts w:ascii="Arial" w:hAnsi="Arial" w:cs="Arial"/>
          <w:b/>
          <w:i/>
          <w:color w:val="auto"/>
          <w:lang w:val="uk-UA"/>
        </w:rPr>
        <w:t xml:space="preserve">Жорский диск: </w:t>
      </w:r>
      <w:r w:rsidRPr="008A7F05">
        <w:rPr>
          <w:rStyle w:val="pagesubtitle1"/>
          <w:rFonts w:ascii="Arial" w:hAnsi="Arial" w:cs="Arial"/>
          <w:b/>
          <w:i/>
          <w:color w:val="auto"/>
          <w:lang w:val="en-US"/>
        </w:rPr>
        <w:t xml:space="preserve">My Book Premium Edition II </w:t>
      </w:r>
      <w:r w:rsidRPr="008A7F05">
        <w:rPr>
          <w:rFonts w:ascii="Arial" w:hAnsi="Arial" w:cs="Arial"/>
          <w:b/>
          <w:i/>
          <w:lang w:val="en-US"/>
        </w:rPr>
        <w:t>WD1000C033-000</w:t>
      </w:r>
    </w:p>
    <w:p w:rsidR="008A7F05" w:rsidRDefault="008A7F05" w:rsidP="008A7F05">
      <w:pPr>
        <w:tabs>
          <w:tab w:val="left" w:pos="180"/>
          <w:tab w:val="left" w:pos="270"/>
          <w:tab w:val="left" w:pos="993"/>
        </w:tabs>
        <w:spacing w:after="0" w:line="240" w:lineRule="auto"/>
        <w:rPr>
          <w:rFonts w:ascii="Arial" w:hAnsi="Arial" w:cs="Arial"/>
          <w:lang w:val="uk-UA"/>
        </w:rPr>
      </w:pPr>
    </w:p>
    <w:p w:rsidR="006B2B9B" w:rsidRPr="006B2B9B" w:rsidRDefault="006B2B9B" w:rsidP="008A7F05">
      <w:pPr>
        <w:tabs>
          <w:tab w:val="left" w:pos="180"/>
          <w:tab w:val="left" w:pos="270"/>
          <w:tab w:val="left" w:pos="993"/>
        </w:tabs>
        <w:spacing w:after="0" w:line="240" w:lineRule="auto"/>
        <w:rPr>
          <w:rFonts w:ascii="Arial" w:hAnsi="Arial" w:cs="Arial"/>
          <w:lang w:val="uk-UA"/>
        </w:rPr>
      </w:pPr>
    </w:p>
    <w:p w:rsidR="008A7F05" w:rsidRDefault="008A7F05" w:rsidP="008A7F05">
      <w:pPr>
        <w:tabs>
          <w:tab w:val="left" w:pos="180"/>
          <w:tab w:val="left" w:pos="270"/>
          <w:tab w:val="left" w:pos="993"/>
        </w:tabs>
        <w:spacing w:after="0" w:line="240" w:lineRule="auto"/>
        <w:rPr>
          <w:rFonts w:ascii="Arial" w:hAnsi="Arial" w:cs="Arial"/>
        </w:rPr>
      </w:pPr>
      <w:r w:rsidRPr="006B2B9B">
        <w:rPr>
          <w:rFonts w:ascii="Arial" w:hAnsi="Arial" w:cs="Arial"/>
        </w:rPr>
        <w:t xml:space="preserve">6. </w:t>
      </w:r>
      <w:r w:rsidR="0002416B">
        <w:rPr>
          <w:rFonts w:ascii="Arial" w:hAnsi="Arial" w:cs="Arial"/>
          <w:lang w:val="uk-UA"/>
        </w:rPr>
        <w:t>Чи є документація на російській/українській мові</w:t>
      </w:r>
      <w:r>
        <w:rPr>
          <w:rFonts w:ascii="Arial" w:hAnsi="Arial" w:cs="Arial"/>
        </w:rPr>
        <w:t>?</w:t>
      </w:r>
    </w:p>
    <w:p w:rsidR="008A7F05" w:rsidRDefault="008A7F05" w:rsidP="008A7F05">
      <w:pPr>
        <w:tabs>
          <w:tab w:val="left" w:pos="180"/>
          <w:tab w:val="left" w:pos="270"/>
          <w:tab w:val="left" w:pos="993"/>
        </w:tabs>
        <w:spacing w:after="0" w:line="240" w:lineRule="auto"/>
        <w:rPr>
          <w:rFonts w:ascii="Arial" w:hAnsi="Arial" w:cs="Arial"/>
        </w:rPr>
      </w:pPr>
    </w:p>
    <w:p w:rsidR="008A7F05" w:rsidRPr="006B2B9B" w:rsidRDefault="006B2B9B" w:rsidP="008A7F05">
      <w:pPr>
        <w:tabs>
          <w:tab w:val="left" w:pos="180"/>
          <w:tab w:val="left" w:pos="270"/>
          <w:tab w:val="left" w:pos="993"/>
        </w:tabs>
        <w:spacing w:after="0" w:line="240" w:lineRule="auto"/>
        <w:rPr>
          <w:rFonts w:ascii="Arial" w:hAnsi="Arial" w:cs="Arial"/>
          <w:b/>
          <w:i/>
        </w:rPr>
      </w:pPr>
      <w:r>
        <w:rPr>
          <w:rFonts w:ascii="Arial" w:hAnsi="Arial" w:cs="Arial"/>
          <w:b/>
          <w:i/>
          <w:lang w:val="uk-UA"/>
        </w:rPr>
        <w:t>Відповідь</w:t>
      </w:r>
      <w:r w:rsidR="008A7F05" w:rsidRPr="008A7F05">
        <w:rPr>
          <w:rFonts w:ascii="Arial" w:hAnsi="Arial" w:cs="Arial"/>
          <w:b/>
          <w:i/>
        </w:rPr>
        <w:t>: Тендерна документац</w:t>
      </w:r>
      <w:r>
        <w:rPr>
          <w:rFonts w:ascii="Arial" w:hAnsi="Arial" w:cs="Arial"/>
          <w:b/>
          <w:i/>
          <w:lang w:val="uk-UA"/>
        </w:rPr>
        <w:t>ія складена тільки на англійській мові</w:t>
      </w:r>
      <w:r w:rsidR="008A7F05" w:rsidRPr="008A7F05">
        <w:rPr>
          <w:rFonts w:ascii="Arial" w:hAnsi="Arial" w:cs="Arial"/>
          <w:b/>
          <w:i/>
        </w:rPr>
        <w:t>.</w:t>
      </w:r>
    </w:p>
    <w:p w:rsidR="008A7F05" w:rsidRPr="00B9563F" w:rsidRDefault="008A7F05" w:rsidP="008A7F05">
      <w:pPr>
        <w:tabs>
          <w:tab w:val="left" w:pos="180"/>
          <w:tab w:val="left" w:pos="270"/>
          <w:tab w:val="left" w:pos="993"/>
        </w:tabs>
        <w:spacing w:after="0" w:line="240" w:lineRule="auto"/>
        <w:rPr>
          <w:rFonts w:ascii="Arial" w:hAnsi="Arial" w:cs="Arial"/>
          <w:lang w:val="en-US"/>
        </w:rPr>
      </w:pPr>
    </w:p>
    <w:p w:rsidR="008A7F05" w:rsidRPr="00B9563F" w:rsidRDefault="008A7F05" w:rsidP="008A7F05">
      <w:pPr>
        <w:tabs>
          <w:tab w:val="left" w:pos="180"/>
          <w:tab w:val="left" w:pos="270"/>
          <w:tab w:val="left" w:pos="993"/>
        </w:tabs>
        <w:spacing w:after="0" w:line="240" w:lineRule="auto"/>
        <w:rPr>
          <w:rFonts w:ascii="Arial" w:hAnsi="Arial" w:cs="Arial"/>
          <w:lang w:val="en-US"/>
        </w:rPr>
      </w:pPr>
    </w:p>
    <w:p w:rsidR="003D2698" w:rsidRPr="003D2698" w:rsidRDefault="008A7F05" w:rsidP="003D2698">
      <w:pPr>
        <w:spacing w:after="0" w:line="240" w:lineRule="auto"/>
        <w:rPr>
          <w:rFonts w:ascii="Arial" w:hAnsi="Arial" w:cs="Arial"/>
        </w:rPr>
      </w:pPr>
      <w:r w:rsidRPr="006B2B9B">
        <w:rPr>
          <w:rFonts w:ascii="Arial" w:hAnsi="Arial" w:cs="Arial"/>
        </w:rPr>
        <w:t xml:space="preserve">7. </w:t>
      </w:r>
      <w:r w:rsidR="006B2B9B">
        <w:rPr>
          <w:rFonts w:ascii="Arial" w:hAnsi="Arial" w:cs="Arial"/>
          <w:lang w:val="uk-UA"/>
        </w:rPr>
        <w:t>Що самє В</w:t>
      </w:r>
      <w:r w:rsidR="00FC3DB3">
        <w:rPr>
          <w:rFonts w:ascii="Arial" w:hAnsi="Arial" w:cs="Arial"/>
          <w:lang w:val="uk-UA"/>
        </w:rPr>
        <w:t>и</w:t>
      </w:r>
      <w:r w:rsidR="006B2B9B">
        <w:rPr>
          <w:rFonts w:ascii="Arial" w:hAnsi="Arial" w:cs="Arial"/>
          <w:lang w:val="uk-UA"/>
        </w:rPr>
        <w:t xml:space="preserve"> розумієте під</w:t>
      </w:r>
      <w:r w:rsidR="003D2698" w:rsidRPr="003D2698">
        <w:rPr>
          <w:rFonts w:ascii="Arial" w:hAnsi="Arial" w:cs="Arial"/>
        </w:rPr>
        <w:t xml:space="preserve"> «банк</w:t>
      </w:r>
      <w:r w:rsidR="006B2B9B">
        <w:rPr>
          <w:rFonts w:ascii="Arial" w:hAnsi="Arial" w:cs="Arial"/>
          <w:lang w:val="uk-UA"/>
        </w:rPr>
        <w:t>івською гарантією</w:t>
      </w:r>
      <w:r w:rsidR="003D2698" w:rsidRPr="003D2698">
        <w:rPr>
          <w:rFonts w:ascii="Arial" w:hAnsi="Arial" w:cs="Arial"/>
        </w:rPr>
        <w:t xml:space="preserve">», </w:t>
      </w:r>
      <w:r w:rsidR="006B2B9B">
        <w:rPr>
          <w:rFonts w:ascii="Arial" w:hAnsi="Arial" w:cs="Arial"/>
          <w:lang w:val="uk-UA"/>
        </w:rPr>
        <w:t>та на яку суму вона повинна бути</w:t>
      </w:r>
      <w:r w:rsidR="003D2698" w:rsidRPr="003D2698">
        <w:rPr>
          <w:rFonts w:ascii="Arial" w:hAnsi="Arial" w:cs="Arial"/>
        </w:rPr>
        <w:t>?</w:t>
      </w:r>
    </w:p>
    <w:p w:rsidR="003D2698" w:rsidRPr="003D2698" w:rsidRDefault="003D2698" w:rsidP="003D2698">
      <w:pPr>
        <w:spacing w:after="0" w:line="240" w:lineRule="auto"/>
        <w:rPr>
          <w:rFonts w:ascii="Arial" w:hAnsi="Arial" w:cs="Arial"/>
          <w:lang w:val="en-US"/>
        </w:rPr>
      </w:pPr>
      <w:r w:rsidRPr="003D2698">
        <w:rPr>
          <w:rFonts w:ascii="Arial" w:hAnsi="Arial" w:cs="Arial"/>
          <w:lang w:val="en-US"/>
        </w:rPr>
        <w:t> </w:t>
      </w:r>
      <w:r w:rsidRPr="003D2698">
        <w:rPr>
          <w:rFonts w:ascii="Arial" w:hAnsi="Arial" w:cs="Arial"/>
          <w:i/>
          <w:iCs/>
          <w:lang w:val="en-US"/>
        </w:rPr>
        <w:t>b)</w:t>
      </w:r>
      <w:r w:rsidRPr="003D2698">
        <w:rPr>
          <w:rFonts w:ascii="Arial" w:hAnsi="Arial" w:cs="Arial"/>
          <w:i/>
          <w:iCs/>
          <w:sz w:val="14"/>
          <w:szCs w:val="14"/>
          <w:lang w:val="en-US"/>
        </w:rPr>
        <w:t xml:space="preserve">       </w:t>
      </w:r>
      <w:r w:rsidRPr="003D2698">
        <w:rPr>
          <w:rFonts w:ascii="Arial" w:hAnsi="Arial" w:cs="Arial"/>
          <w:i/>
          <w:iCs/>
          <w:lang w:val="en-US"/>
        </w:rPr>
        <w:t>Bid Security equivalent (in the form of</w:t>
      </w:r>
      <w:proofErr w:type="gramStart"/>
      <w:r w:rsidRPr="003D2698">
        <w:rPr>
          <w:rFonts w:ascii="Arial" w:hAnsi="Arial" w:cs="Arial"/>
          <w:i/>
          <w:iCs/>
          <w:lang w:val="en-US"/>
        </w:rPr>
        <w:t>  bank</w:t>
      </w:r>
      <w:proofErr w:type="gramEnd"/>
      <w:r w:rsidRPr="003D2698">
        <w:rPr>
          <w:rFonts w:ascii="Arial" w:hAnsi="Arial" w:cs="Arial"/>
          <w:i/>
          <w:iCs/>
          <w:lang w:val="en-US"/>
        </w:rPr>
        <w:t xml:space="preserve"> guarantee from a reputable commercial banking institution);</w:t>
      </w:r>
    </w:p>
    <w:p w:rsidR="003D2698" w:rsidRPr="004A04BB" w:rsidRDefault="003D2698" w:rsidP="000A6C0E">
      <w:pPr>
        <w:tabs>
          <w:tab w:val="left" w:pos="180"/>
          <w:tab w:val="left" w:pos="270"/>
          <w:tab w:val="left" w:pos="993"/>
        </w:tabs>
        <w:spacing w:after="0" w:line="240" w:lineRule="auto"/>
        <w:rPr>
          <w:rFonts w:ascii="Arial" w:hAnsi="Arial" w:cs="Arial"/>
          <w:lang w:val="en-US"/>
        </w:rPr>
      </w:pPr>
    </w:p>
    <w:p w:rsidR="003D2698" w:rsidRPr="006B2B9B" w:rsidRDefault="0002416B" w:rsidP="003D2698">
      <w:pPr>
        <w:tabs>
          <w:tab w:val="left" w:pos="180"/>
          <w:tab w:val="left" w:pos="270"/>
          <w:tab w:val="left" w:pos="993"/>
        </w:tabs>
        <w:spacing w:after="0" w:line="240" w:lineRule="auto"/>
        <w:rPr>
          <w:rFonts w:ascii="Arial" w:hAnsi="Arial" w:cs="Arial"/>
          <w:b/>
          <w:i/>
          <w:lang w:val="en-US"/>
        </w:rPr>
      </w:pPr>
      <w:r>
        <w:rPr>
          <w:rFonts w:ascii="Arial" w:hAnsi="Arial" w:cs="Arial"/>
          <w:b/>
          <w:i/>
          <w:lang w:val="uk-UA"/>
        </w:rPr>
        <w:t>Відповідь</w:t>
      </w:r>
      <w:r w:rsidR="003D2698" w:rsidRPr="006B2B9B">
        <w:rPr>
          <w:rFonts w:ascii="Arial" w:hAnsi="Arial" w:cs="Arial"/>
          <w:b/>
          <w:i/>
          <w:lang w:val="en-US"/>
        </w:rPr>
        <w:t>:</w:t>
      </w:r>
    </w:p>
    <w:p w:rsidR="000A6C0E" w:rsidRPr="006B2B9B" w:rsidRDefault="00FC3DB3" w:rsidP="003D2698">
      <w:pPr>
        <w:spacing w:after="0" w:line="240" w:lineRule="auto"/>
        <w:rPr>
          <w:rFonts w:ascii="Arial" w:hAnsi="Arial" w:cs="Arial"/>
          <w:b/>
          <w:i/>
          <w:color w:val="000000"/>
          <w:lang w:val="en-US"/>
        </w:rPr>
      </w:pPr>
      <w:r>
        <w:rPr>
          <w:rFonts w:ascii="Arial" w:hAnsi="Arial" w:cs="Arial"/>
          <w:b/>
          <w:i/>
          <w:color w:val="000000"/>
          <w:lang w:val="uk-UA"/>
        </w:rPr>
        <w:t xml:space="preserve">Розуміння «банківської гарантії» це надання </w:t>
      </w:r>
      <w:r w:rsidR="0002416B">
        <w:rPr>
          <w:rFonts w:ascii="Arial" w:hAnsi="Arial" w:cs="Arial"/>
          <w:b/>
          <w:i/>
          <w:color w:val="000000"/>
          <w:lang w:val="uk-UA"/>
        </w:rPr>
        <w:t>забезпечення тендерної пропозиції</w:t>
      </w:r>
      <w:r>
        <w:rPr>
          <w:rFonts w:ascii="Arial" w:hAnsi="Arial" w:cs="Arial"/>
          <w:b/>
          <w:i/>
          <w:color w:val="000000"/>
          <w:lang w:val="uk-UA"/>
        </w:rPr>
        <w:t xml:space="preserve"> в еквіваленті не меньше ніж десять (10%) від загальної суми пропозиції </w:t>
      </w:r>
      <w:r w:rsidR="0002416B">
        <w:rPr>
          <w:rFonts w:ascii="Arial" w:hAnsi="Arial" w:cs="Arial"/>
          <w:b/>
          <w:i/>
          <w:color w:val="000000"/>
          <w:lang w:val="uk-UA"/>
        </w:rPr>
        <w:t>в вигляді банківської гарантії</w:t>
      </w:r>
      <w:r w:rsidR="006B2B9B" w:rsidRPr="006B2B9B">
        <w:rPr>
          <w:rFonts w:ascii="Arial" w:hAnsi="Arial" w:cs="Arial"/>
          <w:b/>
          <w:i/>
          <w:color w:val="000000"/>
          <w:lang w:val="en-US"/>
        </w:rPr>
        <w:t xml:space="preserve"> </w:t>
      </w:r>
      <w:r w:rsidR="006B2B9B">
        <w:rPr>
          <w:rFonts w:ascii="Arial" w:hAnsi="Arial" w:cs="Arial"/>
          <w:b/>
          <w:i/>
          <w:color w:val="000000"/>
          <w:lang w:val="uk-UA"/>
        </w:rPr>
        <w:t>від визнаної банківської установи</w:t>
      </w:r>
      <w:r w:rsidR="000A6C0E" w:rsidRPr="006B2B9B">
        <w:rPr>
          <w:rFonts w:ascii="Arial" w:hAnsi="Arial" w:cs="Arial"/>
          <w:b/>
          <w:i/>
          <w:color w:val="000000"/>
          <w:lang w:val="en-US"/>
        </w:rPr>
        <w:t>.</w:t>
      </w:r>
    </w:p>
    <w:p w:rsidR="000A6C0E" w:rsidRPr="00FC3DB3" w:rsidRDefault="0002416B" w:rsidP="003D2698">
      <w:pPr>
        <w:spacing w:after="0" w:line="240" w:lineRule="auto"/>
        <w:rPr>
          <w:rFonts w:ascii="Arial" w:hAnsi="Arial" w:cs="Arial"/>
          <w:b/>
          <w:i/>
          <w:color w:val="000000"/>
          <w:lang w:val="en-US"/>
        </w:rPr>
      </w:pPr>
      <w:r>
        <w:rPr>
          <w:rFonts w:ascii="Arial" w:hAnsi="Arial" w:cs="Arial"/>
          <w:b/>
          <w:i/>
          <w:color w:val="000000"/>
          <w:lang w:val="uk-UA"/>
        </w:rPr>
        <w:t>Форма банківської гарантії надана в Розділі</w:t>
      </w:r>
      <w:r w:rsidR="000A6C0E" w:rsidRPr="00FC3DB3">
        <w:rPr>
          <w:rFonts w:ascii="Arial" w:hAnsi="Arial" w:cs="Arial"/>
          <w:b/>
          <w:i/>
          <w:color w:val="000000"/>
          <w:lang w:val="en-US"/>
        </w:rPr>
        <w:t xml:space="preserve"> V Sample Forms, Form-4.</w:t>
      </w:r>
    </w:p>
    <w:p w:rsidR="000A6C0E" w:rsidRDefault="0002416B" w:rsidP="003D2698">
      <w:pPr>
        <w:tabs>
          <w:tab w:val="left" w:pos="180"/>
          <w:tab w:val="left" w:pos="270"/>
          <w:tab w:val="left" w:pos="993"/>
        </w:tabs>
        <w:spacing w:after="0" w:line="240" w:lineRule="auto"/>
        <w:rPr>
          <w:rFonts w:ascii="Arial" w:hAnsi="Arial" w:cs="Arial"/>
          <w:b/>
          <w:i/>
          <w:color w:val="000000"/>
          <w:lang w:val="uk-UA"/>
        </w:rPr>
      </w:pPr>
      <w:r>
        <w:rPr>
          <w:rFonts w:ascii="Arial" w:hAnsi="Arial" w:cs="Arial"/>
          <w:b/>
          <w:i/>
          <w:color w:val="000000"/>
          <w:lang w:val="uk-UA"/>
        </w:rPr>
        <w:lastRenderedPageBreak/>
        <w:t xml:space="preserve">Більш детальна інформація пор забезпечення тендерної пропозиції викладена в параграфі </w:t>
      </w:r>
      <w:r w:rsidR="000A6C0E" w:rsidRPr="003D2698">
        <w:rPr>
          <w:rFonts w:ascii="Arial" w:hAnsi="Arial" w:cs="Arial"/>
          <w:b/>
          <w:i/>
          <w:color w:val="000000"/>
        </w:rPr>
        <w:t xml:space="preserve">17 </w:t>
      </w:r>
      <w:r>
        <w:rPr>
          <w:rFonts w:ascii="Arial" w:hAnsi="Arial" w:cs="Arial"/>
          <w:b/>
          <w:i/>
          <w:color w:val="000000"/>
          <w:lang w:val="uk-UA"/>
        </w:rPr>
        <w:t>Інструкції для учасників тендера</w:t>
      </w:r>
      <w:r w:rsidR="003D2698">
        <w:rPr>
          <w:rFonts w:ascii="Arial" w:hAnsi="Arial" w:cs="Arial"/>
          <w:b/>
          <w:i/>
          <w:color w:val="000000"/>
        </w:rPr>
        <w:t xml:space="preserve"> (Instructions to Bidders):</w:t>
      </w:r>
    </w:p>
    <w:p w:rsidR="003D2698" w:rsidRPr="006B2B9B" w:rsidRDefault="003D2698" w:rsidP="003D2698">
      <w:pPr>
        <w:tabs>
          <w:tab w:val="left" w:pos="180"/>
          <w:tab w:val="left" w:pos="270"/>
          <w:tab w:val="left" w:pos="993"/>
        </w:tabs>
        <w:spacing w:after="0" w:line="240" w:lineRule="auto"/>
        <w:rPr>
          <w:rFonts w:ascii="Arial" w:hAnsi="Arial" w:cs="Arial"/>
          <w:b/>
          <w:i/>
          <w:color w:val="000000"/>
          <w:lang w:val="en-US"/>
        </w:rPr>
      </w:pPr>
    </w:p>
    <w:tbl>
      <w:tblPr>
        <w:tblW w:w="9144" w:type="dxa"/>
        <w:tblLayout w:type="fixed"/>
        <w:tblLook w:val="0000" w:firstRow="0" w:lastRow="0" w:firstColumn="0" w:lastColumn="0" w:noHBand="0" w:noVBand="0"/>
      </w:tblPr>
      <w:tblGrid>
        <w:gridCol w:w="2160"/>
        <w:gridCol w:w="6984"/>
      </w:tblGrid>
      <w:tr w:rsidR="003D2698" w:rsidRPr="006B2B9B" w:rsidTr="00BC621C">
        <w:tc>
          <w:tcPr>
            <w:tcW w:w="2160" w:type="dxa"/>
          </w:tcPr>
          <w:p w:rsidR="003D2698" w:rsidRPr="003D2698" w:rsidRDefault="003D2698" w:rsidP="003D2698">
            <w:pPr>
              <w:pStyle w:val="Head22"/>
              <w:rPr>
                <w:rFonts w:ascii="Arial" w:hAnsi="Arial" w:cs="Arial"/>
                <w:i/>
                <w:sz w:val="22"/>
                <w:szCs w:val="22"/>
              </w:rPr>
            </w:pPr>
            <w:bookmarkStart w:id="0" w:name="_Toc340548868"/>
            <w:bookmarkStart w:id="1" w:name="_Toc420479666"/>
            <w:bookmarkStart w:id="2" w:name="_Toc410064178"/>
            <w:bookmarkStart w:id="3" w:name="_Toc420910651"/>
            <w:bookmarkStart w:id="4" w:name="_Toc421000527"/>
            <w:bookmarkStart w:id="5" w:name="_Toc410900180"/>
            <w:bookmarkStart w:id="6" w:name="_Toc392949090"/>
            <w:bookmarkStart w:id="7" w:name="_Toc231267269"/>
            <w:r w:rsidRPr="003D2698">
              <w:rPr>
                <w:rFonts w:ascii="Arial" w:hAnsi="Arial" w:cs="Arial"/>
                <w:i/>
                <w:sz w:val="22"/>
                <w:szCs w:val="22"/>
              </w:rPr>
              <w:t>17.</w:t>
            </w:r>
            <w:r w:rsidRPr="003D2698">
              <w:rPr>
                <w:rFonts w:ascii="Arial" w:hAnsi="Arial" w:cs="Arial"/>
                <w:i/>
                <w:sz w:val="22"/>
                <w:szCs w:val="22"/>
              </w:rPr>
              <w:tab/>
              <w:t>Bid Security</w:t>
            </w:r>
            <w:bookmarkEnd w:id="0"/>
            <w:bookmarkEnd w:id="1"/>
            <w:bookmarkEnd w:id="2"/>
            <w:bookmarkEnd w:id="3"/>
            <w:bookmarkEnd w:id="4"/>
            <w:bookmarkEnd w:id="5"/>
            <w:bookmarkEnd w:id="6"/>
            <w:bookmarkEnd w:id="7"/>
          </w:p>
        </w:tc>
        <w:tc>
          <w:tcPr>
            <w:tcW w:w="6984" w:type="dxa"/>
          </w:tcPr>
          <w:p w:rsidR="003D2698" w:rsidRPr="003D2698" w:rsidRDefault="003D2698" w:rsidP="003D2698">
            <w:pPr>
              <w:numPr>
                <w:ilvl w:val="1"/>
                <w:numId w:val="2"/>
              </w:numPr>
              <w:tabs>
                <w:tab w:val="clear" w:pos="420"/>
                <w:tab w:val="num" w:pos="540"/>
              </w:tabs>
              <w:spacing w:after="0" w:line="240" w:lineRule="auto"/>
              <w:ind w:left="540" w:right="-72" w:hanging="540"/>
              <w:jc w:val="both"/>
              <w:rPr>
                <w:rFonts w:ascii="Arial" w:hAnsi="Arial" w:cs="Arial"/>
                <w:b/>
                <w:i/>
                <w:color w:val="0000FF"/>
                <w:lang w:val="en-US"/>
              </w:rPr>
            </w:pPr>
            <w:r w:rsidRPr="003D2698">
              <w:rPr>
                <w:rFonts w:ascii="Arial" w:hAnsi="Arial" w:cs="Arial"/>
                <w:b/>
                <w:i/>
                <w:lang w:val="en-US"/>
              </w:rPr>
              <w:t>Pursuant to ITB Clause 10, the Bidder shall furnish, as part of its bid, a bid security amounting not less than ten (10) percent of the Bidders Total Bid Price in the form of bank guarantee from a reputable commercial banking institution.</w:t>
            </w:r>
          </w:p>
          <w:p w:rsidR="003D2698" w:rsidRPr="003D2698" w:rsidRDefault="003D2698" w:rsidP="003D2698">
            <w:pPr>
              <w:spacing w:after="0" w:line="240" w:lineRule="auto"/>
              <w:ind w:right="-72"/>
              <w:rPr>
                <w:rFonts w:ascii="Arial" w:hAnsi="Arial" w:cs="Arial"/>
                <w:b/>
                <w:i/>
                <w:lang w:val="en-US"/>
              </w:rPr>
            </w:pPr>
          </w:p>
          <w:p w:rsidR="003D2698" w:rsidRPr="003D2698" w:rsidRDefault="003D2698" w:rsidP="003D2698">
            <w:pPr>
              <w:numPr>
                <w:ilvl w:val="1"/>
                <w:numId w:val="2"/>
              </w:numPr>
              <w:tabs>
                <w:tab w:val="clear" w:pos="420"/>
                <w:tab w:val="num" w:pos="540"/>
              </w:tabs>
              <w:spacing w:after="0" w:line="240" w:lineRule="auto"/>
              <w:ind w:left="540" w:right="-72" w:hanging="540"/>
              <w:jc w:val="both"/>
              <w:rPr>
                <w:rFonts w:ascii="Arial" w:hAnsi="Arial" w:cs="Arial"/>
                <w:b/>
                <w:i/>
                <w:color w:val="3366FF"/>
                <w:lang w:val="en-US"/>
              </w:rPr>
            </w:pPr>
            <w:r w:rsidRPr="003D2698">
              <w:rPr>
                <w:rFonts w:ascii="Arial" w:hAnsi="Arial" w:cs="Arial"/>
                <w:b/>
                <w:i/>
                <w:lang w:val="en-US"/>
              </w:rPr>
              <w:t>The bid security is required to protect IOM against the risk of Bidder’s conduct, which would warrant the security’s forfeiture, pursuant to ITB Clause 17.6. The bid security shall be denominated in the form of bank guarantee from a reputable commercial banking institution.</w:t>
            </w:r>
          </w:p>
          <w:p w:rsidR="003D2698" w:rsidRPr="003D2698" w:rsidRDefault="003D2698" w:rsidP="003D2698">
            <w:pPr>
              <w:spacing w:after="0" w:line="240" w:lineRule="auto"/>
              <w:ind w:left="533" w:right="-72"/>
              <w:rPr>
                <w:rFonts w:ascii="Arial" w:hAnsi="Arial" w:cs="Arial"/>
                <w:b/>
                <w:i/>
                <w:lang w:val="en-US"/>
              </w:rPr>
            </w:pPr>
          </w:p>
          <w:p w:rsidR="003D2698" w:rsidRPr="003D2698" w:rsidRDefault="003D2698" w:rsidP="003D2698">
            <w:pPr>
              <w:numPr>
                <w:ilvl w:val="1"/>
                <w:numId w:val="2"/>
              </w:numPr>
              <w:tabs>
                <w:tab w:val="clear" w:pos="420"/>
                <w:tab w:val="num" w:pos="540"/>
              </w:tabs>
              <w:spacing w:after="0" w:line="240" w:lineRule="auto"/>
              <w:ind w:left="540" w:right="-72" w:hanging="540"/>
              <w:jc w:val="both"/>
              <w:rPr>
                <w:rFonts w:ascii="Arial" w:hAnsi="Arial" w:cs="Arial"/>
                <w:b/>
                <w:i/>
                <w:lang w:val="en-US"/>
              </w:rPr>
            </w:pPr>
            <w:r w:rsidRPr="003D2698">
              <w:rPr>
                <w:rFonts w:ascii="Arial" w:hAnsi="Arial" w:cs="Arial"/>
                <w:b/>
                <w:i/>
                <w:lang w:val="en-US"/>
              </w:rPr>
              <w:t>Any bid not secured in accordance with ITB Clauses 17.1 will be rejected by IOM as non-responsive, pursuant to ITB Clause 25.</w:t>
            </w:r>
          </w:p>
          <w:p w:rsidR="003D2698" w:rsidRPr="003D2698" w:rsidRDefault="003D2698" w:rsidP="003D2698">
            <w:pPr>
              <w:spacing w:after="0" w:line="240" w:lineRule="auto"/>
              <w:ind w:right="-72"/>
              <w:jc w:val="both"/>
              <w:rPr>
                <w:rFonts w:ascii="Arial" w:hAnsi="Arial" w:cs="Arial"/>
                <w:b/>
                <w:i/>
                <w:lang w:val="en-US"/>
              </w:rPr>
            </w:pPr>
          </w:p>
          <w:p w:rsidR="003D2698" w:rsidRPr="003D2698" w:rsidRDefault="003D2698" w:rsidP="003D2698">
            <w:pPr>
              <w:numPr>
                <w:ilvl w:val="1"/>
                <w:numId w:val="2"/>
              </w:numPr>
              <w:tabs>
                <w:tab w:val="clear" w:pos="420"/>
                <w:tab w:val="num" w:pos="540"/>
              </w:tabs>
              <w:spacing w:after="0" w:line="240" w:lineRule="auto"/>
              <w:ind w:left="540" w:right="-72" w:hanging="540"/>
              <w:jc w:val="both"/>
              <w:rPr>
                <w:rFonts w:ascii="Arial" w:hAnsi="Arial" w:cs="Arial"/>
                <w:b/>
                <w:i/>
                <w:lang w:val="en-US"/>
              </w:rPr>
            </w:pPr>
            <w:r w:rsidRPr="003D2698">
              <w:rPr>
                <w:rFonts w:ascii="Arial" w:hAnsi="Arial" w:cs="Arial"/>
                <w:b/>
                <w:i/>
                <w:lang w:val="en-US"/>
              </w:rPr>
              <w:t>Unsuccessful bidders’ bid security will be discharged or returned as promptly as possible but not later than thirty (30) days after the expiration of the period of bid validity prescribed by IOM pursuant to ITB Clause 16.</w:t>
            </w:r>
          </w:p>
          <w:p w:rsidR="003D2698" w:rsidRPr="003D2698" w:rsidRDefault="003D2698" w:rsidP="003D2698">
            <w:pPr>
              <w:tabs>
                <w:tab w:val="num" w:pos="540"/>
              </w:tabs>
              <w:spacing w:after="0" w:line="240" w:lineRule="auto"/>
              <w:ind w:left="540" w:right="-72" w:hanging="540"/>
              <w:jc w:val="both"/>
              <w:rPr>
                <w:rFonts w:ascii="Arial" w:hAnsi="Arial" w:cs="Arial"/>
                <w:b/>
                <w:i/>
                <w:lang w:val="en-US"/>
              </w:rPr>
            </w:pPr>
          </w:p>
          <w:p w:rsidR="003D2698" w:rsidRPr="003D2698" w:rsidRDefault="003D2698" w:rsidP="003D2698">
            <w:pPr>
              <w:numPr>
                <w:ilvl w:val="1"/>
                <w:numId w:val="2"/>
              </w:numPr>
              <w:tabs>
                <w:tab w:val="clear" w:pos="420"/>
                <w:tab w:val="num" w:pos="540"/>
              </w:tabs>
              <w:spacing w:after="0" w:line="240" w:lineRule="auto"/>
              <w:ind w:left="540" w:right="-72" w:hanging="540"/>
              <w:jc w:val="both"/>
              <w:rPr>
                <w:rFonts w:ascii="Arial" w:hAnsi="Arial" w:cs="Arial"/>
                <w:b/>
                <w:i/>
                <w:lang w:val="en-US"/>
              </w:rPr>
            </w:pPr>
            <w:r w:rsidRPr="003D2698">
              <w:rPr>
                <w:rFonts w:ascii="Arial" w:hAnsi="Arial" w:cs="Arial"/>
                <w:b/>
                <w:i/>
                <w:lang w:val="en-US"/>
              </w:rPr>
              <w:t>The successful Bidder’s bid security will be discharged upon the Bidder signing the contract, pursuant to ITB Clause 35, and furnishing the performance security, pursuant to ITB Clause 34.</w:t>
            </w:r>
          </w:p>
          <w:p w:rsidR="003D2698" w:rsidRPr="003D2698" w:rsidRDefault="003D2698" w:rsidP="003D2698">
            <w:pPr>
              <w:tabs>
                <w:tab w:val="num" w:pos="540"/>
              </w:tabs>
              <w:spacing w:after="0" w:line="240" w:lineRule="auto"/>
              <w:ind w:left="540" w:right="-72" w:hanging="540"/>
              <w:jc w:val="both"/>
              <w:rPr>
                <w:rFonts w:ascii="Arial" w:hAnsi="Arial" w:cs="Arial"/>
                <w:b/>
                <w:i/>
                <w:lang w:val="en-US"/>
              </w:rPr>
            </w:pPr>
          </w:p>
          <w:p w:rsidR="003D2698" w:rsidRPr="003D2698" w:rsidRDefault="003D2698" w:rsidP="003D2698">
            <w:pPr>
              <w:numPr>
                <w:ilvl w:val="1"/>
                <w:numId w:val="2"/>
              </w:numPr>
              <w:tabs>
                <w:tab w:val="clear" w:pos="420"/>
                <w:tab w:val="num" w:pos="540"/>
              </w:tabs>
              <w:spacing w:after="0" w:line="240" w:lineRule="auto"/>
              <w:ind w:right="-72"/>
              <w:rPr>
                <w:rFonts w:ascii="Arial" w:hAnsi="Arial" w:cs="Arial"/>
                <w:b/>
                <w:i/>
                <w:lang w:val="en-US"/>
              </w:rPr>
            </w:pPr>
            <w:r w:rsidRPr="003D2698">
              <w:rPr>
                <w:rFonts w:ascii="Arial" w:hAnsi="Arial" w:cs="Arial"/>
                <w:b/>
                <w:i/>
                <w:lang w:val="en-US"/>
              </w:rPr>
              <w:t>The bid security may be forfeited:</w:t>
            </w:r>
          </w:p>
          <w:p w:rsidR="003D2698" w:rsidRPr="003D2698" w:rsidRDefault="003D2698" w:rsidP="003D2698">
            <w:pPr>
              <w:tabs>
                <w:tab w:val="left" w:pos="540"/>
              </w:tabs>
              <w:spacing w:after="0" w:line="240" w:lineRule="auto"/>
              <w:ind w:left="547" w:right="-72" w:hanging="547"/>
              <w:rPr>
                <w:rFonts w:ascii="Arial" w:hAnsi="Arial" w:cs="Arial"/>
                <w:b/>
                <w:i/>
                <w:lang w:val="en-US"/>
              </w:rPr>
            </w:pPr>
          </w:p>
          <w:p w:rsidR="003D2698" w:rsidRPr="003D2698" w:rsidRDefault="003D2698" w:rsidP="003D2698">
            <w:pPr>
              <w:tabs>
                <w:tab w:val="left" w:pos="1080"/>
              </w:tabs>
              <w:spacing w:after="0" w:line="240" w:lineRule="auto"/>
              <w:ind w:left="1080" w:right="-72" w:hanging="547"/>
              <w:rPr>
                <w:rFonts w:ascii="Arial" w:hAnsi="Arial" w:cs="Arial"/>
                <w:b/>
                <w:i/>
                <w:lang w:val="en-US"/>
              </w:rPr>
            </w:pPr>
            <w:r w:rsidRPr="003D2698">
              <w:rPr>
                <w:rFonts w:ascii="Arial" w:hAnsi="Arial" w:cs="Arial"/>
                <w:b/>
                <w:i/>
                <w:lang w:val="en-US"/>
              </w:rPr>
              <w:t>(a)</w:t>
            </w:r>
            <w:r w:rsidRPr="003D2698">
              <w:rPr>
                <w:rFonts w:ascii="Arial" w:hAnsi="Arial" w:cs="Arial"/>
                <w:b/>
                <w:i/>
                <w:lang w:val="en-US"/>
              </w:rPr>
              <w:tab/>
              <w:t>if a Bidder withdraws its bid during the period of bid validity specified by the Bidder on the Bid Form; or</w:t>
            </w:r>
          </w:p>
          <w:p w:rsidR="003D2698" w:rsidRPr="003D2698" w:rsidRDefault="003D2698" w:rsidP="003D2698">
            <w:pPr>
              <w:tabs>
                <w:tab w:val="left" w:pos="1080"/>
              </w:tabs>
              <w:spacing w:after="0" w:line="240" w:lineRule="auto"/>
              <w:ind w:left="1080" w:right="-72" w:hanging="547"/>
              <w:rPr>
                <w:rFonts w:ascii="Arial" w:hAnsi="Arial" w:cs="Arial"/>
                <w:b/>
                <w:i/>
                <w:lang w:val="en-US"/>
              </w:rPr>
            </w:pPr>
          </w:p>
          <w:p w:rsidR="003D2698" w:rsidRPr="003D2698" w:rsidRDefault="003D2698" w:rsidP="003D2698">
            <w:pPr>
              <w:tabs>
                <w:tab w:val="left" w:pos="1080"/>
              </w:tabs>
              <w:spacing w:after="0" w:line="240" w:lineRule="auto"/>
              <w:ind w:left="1080" w:right="-72" w:hanging="547"/>
              <w:rPr>
                <w:rFonts w:ascii="Arial" w:hAnsi="Arial" w:cs="Arial"/>
                <w:b/>
                <w:i/>
                <w:lang w:val="en-US"/>
              </w:rPr>
            </w:pPr>
            <w:r w:rsidRPr="003D2698">
              <w:rPr>
                <w:rFonts w:ascii="Arial" w:hAnsi="Arial" w:cs="Arial"/>
                <w:b/>
                <w:i/>
                <w:lang w:val="en-US"/>
              </w:rPr>
              <w:t>(b)</w:t>
            </w:r>
            <w:r w:rsidRPr="003D2698">
              <w:rPr>
                <w:rFonts w:ascii="Arial" w:hAnsi="Arial" w:cs="Arial"/>
                <w:b/>
                <w:i/>
                <w:lang w:val="en-US"/>
              </w:rPr>
              <w:tab/>
              <w:t>in the case of a successful Bidder, if the Bidder fails:</w:t>
            </w:r>
          </w:p>
          <w:p w:rsidR="003D2698" w:rsidRPr="003D2698" w:rsidRDefault="003D2698" w:rsidP="003D2698">
            <w:pPr>
              <w:tabs>
                <w:tab w:val="left" w:pos="1080"/>
              </w:tabs>
              <w:spacing w:after="0" w:line="240" w:lineRule="auto"/>
              <w:ind w:left="1080" w:right="-72" w:hanging="547"/>
              <w:rPr>
                <w:rFonts w:ascii="Arial" w:hAnsi="Arial" w:cs="Arial"/>
                <w:b/>
                <w:i/>
                <w:lang w:val="en-US"/>
              </w:rPr>
            </w:pPr>
          </w:p>
          <w:p w:rsidR="003D2698" w:rsidRPr="003D2698" w:rsidRDefault="003D2698" w:rsidP="003D2698">
            <w:pPr>
              <w:tabs>
                <w:tab w:val="left" w:pos="1620"/>
              </w:tabs>
              <w:spacing w:after="0" w:line="240" w:lineRule="auto"/>
              <w:ind w:left="1620" w:right="-72" w:hanging="547"/>
              <w:rPr>
                <w:rFonts w:ascii="Arial" w:hAnsi="Arial" w:cs="Arial"/>
                <w:b/>
                <w:i/>
                <w:lang w:val="en-US"/>
              </w:rPr>
            </w:pPr>
            <w:r w:rsidRPr="003D2698">
              <w:rPr>
                <w:rFonts w:ascii="Arial" w:hAnsi="Arial" w:cs="Arial"/>
                <w:b/>
                <w:i/>
                <w:lang w:val="en-US"/>
              </w:rPr>
              <w:t>(</w:t>
            </w:r>
            <w:proofErr w:type="spellStart"/>
            <w:r w:rsidRPr="003D2698">
              <w:rPr>
                <w:rFonts w:ascii="Arial" w:hAnsi="Arial" w:cs="Arial"/>
                <w:b/>
                <w:i/>
                <w:lang w:val="en-US"/>
              </w:rPr>
              <w:t>i</w:t>
            </w:r>
            <w:proofErr w:type="spellEnd"/>
            <w:r w:rsidRPr="003D2698">
              <w:rPr>
                <w:rFonts w:ascii="Arial" w:hAnsi="Arial" w:cs="Arial"/>
                <w:b/>
                <w:i/>
                <w:lang w:val="en-US"/>
              </w:rPr>
              <w:t>)</w:t>
            </w:r>
            <w:r w:rsidRPr="003D2698">
              <w:rPr>
                <w:rFonts w:ascii="Arial" w:hAnsi="Arial" w:cs="Arial"/>
                <w:b/>
                <w:i/>
                <w:lang w:val="en-US"/>
              </w:rPr>
              <w:tab/>
              <w:t xml:space="preserve">to sign the contract in accordance with ITB Clause 35; </w:t>
            </w:r>
          </w:p>
          <w:p w:rsidR="003D2698" w:rsidRPr="003D2698" w:rsidRDefault="003D2698" w:rsidP="003D2698">
            <w:pPr>
              <w:tabs>
                <w:tab w:val="left" w:pos="1620"/>
              </w:tabs>
              <w:spacing w:after="0" w:line="240" w:lineRule="auto"/>
              <w:ind w:left="1620" w:right="-72" w:hanging="547"/>
              <w:rPr>
                <w:rFonts w:ascii="Arial" w:hAnsi="Arial" w:cs="Arial"/>
                <w:b/>
                <w:i/>
              </w:rPr>
            </w:pPr>
            <w:r w:rsidRPr="003D2698">
              <w:rPr>
                <w:rFonts w:ascii="Arial" w:hAnsi="Arial" w:cs="Arial"/>
                <w:b/>
                <w:i/>
              </w:rPr>
              <w:t>or</w:t>
            </w:r>
          </w:p>
          <w:p w:rsidR="003D2698" w:rsidRPr="003D2698" w:rsidRDefault="003D2698" w:rsidP="003D2698">
            <w:pPr>
              <w:tabs>
                <w:tab w:val="left" w:pos="1620"/>
              </w:tabs>
              <w:spacing w:after="0" w:line="240" w:lineRule="auto"/>
              <w:ind w:left="1620" w:right="-72" w:hanging="547"/>
              <w:rPr>
                <w:rFonts w:ascii="Arial" w:hAnsi="Arial" w:cs="Arial"/>
                <w:b/>
                <w:i/>
                <w:lang w:val="en-US"/>
              </w:rPr>
            </w:pPr>
            <w:r w:rsidRPr="003D2698">
              <w:rPr>
                <w:rFonts w:ascii="Arial" w:hAnsi="Arial" w:cs="Arial"/>
                <w:b/>
                <w:i/>
                <w:lang w:val="en-US"/>
              </w:rPr>
              <w:t>(ii)</w:t>
            </w:r>
            <w:r w:rsidRPr="003D2698">
              <w:rPr>
                <w:rFonts w:ascii="Arial" w:hAnsi="Arial" w:cs="Arial"/>
                <w:b/>
                <w:i/>
                <w:lang w:val="en-US"/>
              </w:rPr>
              <w:tab/>
            </w:r>
            <w:proofErr w:type="gramStart"/>
            <w:r w:rsidRPr="003D2698">
              <w:rPr>
                <w:rFonts w:ascii="Arial" w:hAnsi="Arial" w:cs="Arial"/>
                <w:b/>
                <w:i/>
                <w:lang w:val="en-US"/>
              </w:rPr>
              <w:t>to</w:t>
            </w:r>
            <w:proofErr w:type="gramEnd"/>
            <w:r w:rsidRPr="003D2698">
              <w:rPr>
                <w:rFonts w:ascii="Arial" w:hAnsi="Arial" w:cs="Arial"/>
                <w:b/>
                <w:i/>
                <w:lang w:val="en-US"/>
              </w:rPr>
              <w:t xml:space="preserve"> furnish performance security in accordance with ITB Clause 34.</w:t>
            </w:r>
          </w:p>
          <w:p w:rsidR="003D2698" w:rsidRPr="003D2698" w:rsidRDefault="003D2698" w:rsidP="003D2698">
            <w:pPr>
              <w:tabs>
                <w:tab w:val="left" w:pos="540"/>
              </w:tabs>
              <w:spacing w:after="0" w:line="240" w:lineRule="auto"/>
              <w:ind w:left="547" w:right="-72" w:hanging="547"/>
              <w:rPr>
                <w:rFonts w:ascii="Arial" w:hAnsi="Arial" w:cs="Arial"/>
                <w:b/>
                <w:i/>
                <w:lang w:val="en-US"/>
              </w:rPr>
            </w:pPr>
          </w:p>
        </w:tc>
      </w:tr>
    </w:tbl>
    <w:p w:rsidR="003D2698" w:rsidRPr="004A04BB" w:rsidRDefault="003D2698" w:rsidP="000A6C0E">
      <w:pPr>
        <w:tabs>
          <w:tab w:val="left" w:pos="180"/>
          <w:tab w:val="left" w:pos="270"/>
          <w:tab w:val="left" w:pos="993"/>
        </w:tabs>
        <w:spacing w:after="0" w:line="240" w:lineRule="auto"/>
        <w:rPr>
          <w:rFonts w:ascii="Arial" w:hAnsi="Arial" w:cs="Arial"/>
          <w:lang w:val="en-US"/>
        </w:rPr>
      </w:pPr>
    </w:p>
    <w:p w:rsidR="00DB2DED" w:rsidRDefault="00DB2DED" w:rsidP="00DB2DED">
      <w:pPr>
        <w:pStyle w:val="PlainText"/>
        <w:rPr>
          <w:rFonts w:ascii="Arial" w:hAnsi="Arial" w:cs="Arial"/>
          <w:lang w:val="ru-RU"/>
        </w:rPr>
      </w:pPr>
      <w:r w:rsidRPr="00DB2DED">
        <w:rPr>
          <w:rFonts w:ascii="Arial" w:hAnsi="Arial" w:cs="Arial"/>
          <w:lang w:val="ru-RU"/>
        </w:rPr>
        <w:t xml:space="preserve">8. </w:t>
      </w:r>
      <w:r w:rsidR="00FC3DB3">
        <w:rPr>
          <w:rFonts w:ascii="Arial" w:hAnsi="Arial" w:cs="Arial"/>
          <w:lang w:val="ru-RU"/>
        </w:rPr>
        <w:t>Чи є можливість після детального вивчення документації, якщо виникнуть питання – задати їх</w:t>
      </w:r>
      <w:r w:rsidRPr="00DB2DED">
        <w:rPr>
          <w:rFonts w:ascii="Arial" w:hAnsi="Arial" w:cs="Arial"/>
          <w:lang w:val="ru-RU"/>
        </w:rPr>
        <w:t>.</w:t>
      </w:r>
    </w:p>
    <w:p w:rsidR="00DB2DED" w:rsidRPr="0002416B" w:rsidRDefault="00DB2DED" w:rsidP="000A6C0E">
      <w:pPr>
        <w:tabs>
          <w:tab w:val="left" w:pos="180"/>
          <w:tab w:val="left" w:pos="270"/>
          <w:tab w:val="left" w:pos="993"/>
        </w:tabs>
        <w:spacing w:after="0" w:line="240" w:lineRule="auto"/>
        <w:rPr>
          <w:rFonts w:ascii="Arial" w:hAnsi="Arial" w:cs="Arial"/>
          <w:lang w:val="en-US"/>
        </w:rPr>
      </w:pPr>
    </w:p>
    <w:p w:rsidR="00DB2DED" w:rsidRPr="0002416B" w:rsidRDefault="0002416B" w:rsidP="00DB2DED">
      <w:pPr>
        <w:tabs>
          <w:tab w:val="left" w:pos="180"/>
          <w:tab w:val="left" w:pos="270"/>
          <w:tab w:val="left" w:pos="993"/>
        </w:tabs>
        <w:spacing w:after="0" w:line="240" w:lineRule="auto"/>
        <w:jc w:val="both"/>
        <w:rPr>
          <w:rFonts w:ascii="Arial" w:hAnsi="Arial" w:cs="Arial"/>
          <w:b/>
          <w:i/>
        </w:rPr>
      </w:pPr>
      <w:r>
        <w:rPr>
          <w:rFonts w:ascii="Arial" w:hAnsi="Arial" w:cs="Arial"/>
          <w:b/>
          <w:i/>
          <w:lang w:val="uk-UA"/>
        </w:rPr>
        <w:t xml:space="preserve">Відповідь: Так. Питання у відношенні тендерного документу </w:t>
      </w:r>
      <w:r w:rsidR="00FC3DB3">
        <w:rPr>
          <w:rFonts w:ascii="Arial" w:hAnsi="Arial" w:cs="Arial"/>
          <w:b/>
          <w:i/>
          <w:lang w:val="uk-UA"/>
        </w:rPr>
        <w:t>та/</w:t>
      </w:r>
      <w:r>
        <w:rPr>
          <w:rFonts w:ascii="Arial" w:hAnsi="Arial" w:cs="Arial"/>
          <w:b/>
          <w:i/>
          <w:lang w:val="uk-UA"/>
        </w:rPr>
        <w:t xml:space="preserve">або технічних специфікацій можуть бути відправлені на електронну пошту </w:t>
      </w:r>
      <w:hyperlink r:id="rId7" w:history="1">
        <w:r w:rsidR="00DB2DED" w:rsidRPr="00DB2DED">
          <w:rPr>
            <w:rStyle w:val="Hyperlink"/>
            <w:rFonts w:ascii="Arial" w:hAnsi="Arial" w:cs="Arial"/>
            <w:b/>
            <w:i/>
          </w:rPr>
          <w:t>procurement@eubam.org</w:t>
        </w:r>
      </w:hyperlink>
      <w:r w:rsidR="00DB2DED" w:rsidRPr="00DB2DED">
        <w:rPr>
          <w:rFonts w:ascii="Arial" w:hAnsi="Arial" w:cs="Arial"/>
          <w:b/>
          <w:i/>
        </w:rPr>
        <w:t xml:space="preserve"> не </w:t>
      </w:r>
      <w:r>
        <w:rPr>
          <w:rFonts w:ascii="Arial" w:hAnsi="Arial" w:cs="Arial"/>
          <w:b/>
          <w:i/>
          <w:lang w:val="uk-UA"/>
        </w:rPr>
        <w:t>пізніше 10 днів до терміну надання пропозицій</w:t>
      </w:r>
      <w:r w:rsidR="00DB2DED" w:rsidRPr="00DB2DED">
        <w:rPr>
          <w:rFonts w:ascii="Arial" w:hAnsi="Arial" w:cs="Arial"/>
          <w:b/>
          <w:i/>
        </w:rPr>
        <w:t>.</w:t>
      </w:r>
    </w:p>
    <w:p w:rsidR="00802D1E" w:rsidRPr="0002416B" w:rsidRDefault="00802D1E" w:rsidP="00DB2DED">
      <w:pPr>
        <w:tabs>
          <w:tab w:val="left" w:pos="180"/>
          <w:tab w:val="left" w:pos="270"/>
          <w:tab w:val="left" w:pos="993"/>
        </w:tabs>
        <w:spacing w:after="0" w:line="240" w:lineRule="auto"/>
        <w:jc w:val="both"/>
        <w:rPr>
          <w:rFonts w:ascii="Arial" w:hAnsi="Arial" w:cs="Arial"/>
          <w:b/>
          <w:i/>
        </w:rPr>
      </w:pPr>
    </w:p>
    <w:p w:rsidR="00802D1E" w:rsidRPr="0002416B" w:rsidRDefault="00802D1E" w:rsidP="00DB2DED">
      <w:pPr>
        <w:tabs>
          <w:tab w:val="left" w:pos="180"/>
          <w:tab w:val="left" w:pos="270"/>
          <w:tab w:val="left" w:pos="993"/>
        </w:tabs>
        <w:spacing w:after="0" w:line="240" w:lineRule="auto"/>
        <w:jc w:val="both"/>
        <w:rPr>
          <w:rFonts w:ascii="Arial" w:hAnsi="Arial" w:cs="Arial"/>
          <w:b/>
          <w:i/>
        </w:rPr>
      </w:pPr>
    </w:p>
    <w:p w:rsidR="00802D1E" w:rsidRPr="0002416B" w:rsidRDefault="00802D1E" w:rsidP="00DB2DED">
      <w:pPr>
        <w:tabs>
          <w:tab w:val="left" w:pos="180"/>
          <w:tab w:val="left" w:pos="270"/>
          <w:tab w:val="left" w:pos="993"/>
        </w:tabs>
        <w:spacing w:after="0" w:line="240" w:lineRule="auto"/>
        <w:jc w:val="both"/>
        <w:rPr>
          <w:rFonts w:ascii="Arial" w:hAnsi="Arial" w:cs="Arial"/>
        </w:rPr>
      </w:pPr>
      <w:r w:rsidRPr="00650119">
        <w:rPr>
          <w:rFonts w:ascii="Arial" w:hAnsi="Arial" w:cs="Arial"/>
        </w:rPr>
        <w:t xml:space="preserve">9. </w:t>
      </w:r>
      <w:r w:rsidR="0002416B">
        <w:rPr>
          <w:rFonts w:ascii="Arial" w:hAnsi="Arial" w:cs="Arial"/>
          <w:lang w:val="uk-UA"/>
        </w:rPr>
        <w:t>Чи необхідно на етапі подання тендерної пропозиції надати банківську гарантію</w:t>
      </w:r>
      <w:r w:rsidRPr="00650119">
        <w:rPr>
          <w:rFonts w:ascii="Arial" w:hAnsi="Arial" w:cs="Arial"/>
        </w:rPr>
        <w:t>?</w:t>
      </w:r>
    </w:p>
    <w:p w:rsidR="00650119" w:rsidRDefault="00650119" w:rsidP="00DB2DED">
      <w:pPr>
        <w:tabs>
          <w:tab w:val="left" w:pos="180"/>
          <w:tab w:val="left" w:pos="270"/>
          <w:tab w:val="left" w:pos="993"/>
        </w:tabs>
        <w:spacing w:after="0" w:line="240" w:lineRule="auto"/>
        <w:jc w:val="both"/>
        <w:rPr>
          <w:rFonts w:ascii="Arial" w:hAnsi="Arial" w:cs="Arial"/>
          <w:lang w:val="en-US"/>
        </w:rPr>
      </w:pPr>
    </w:p>
    <w:p w:rsidR="00650119" w:rsidRPr="00650119" w:rsidRDefault="00650119" w:rsidP="00DB2DED">
      <w:pPr>
        <w:tabs>
          <w:tab w:val="left" w:pos="180"/>
          <w:tab w:val="left" w:pos="270"/>
          <w:tab w:val="left" w:pos="993"/>
        </w:tabs>
        <w:spacing w:after="0" w:line="240" w:lineRule="auto"/>
        <w:jc w:val="both"/>
        <w:rPr>
          <w:rFonts w:ascii="Arial" w:hAnsi="Arial" w:cs="Arial"/>
          <w:b/>
          <w:i/>
          <w:lang w:val="uk-UA"/>
        </w:rPr>
      </w:pPr>
      <w:r w:rsidRPr="00650119">
        <w:rPr>
          <w:rFonts w:ascii="Arial" w:hAnsi="Arial" w:cs="Arial"/>
          <w:b/>
          <w:i/>
          <w:lang w:val="uk-UA"/>
        </w:rPr>
        <w:lastRenderedPageBreak/>
        <w:t>Відповідь: Так. Разом з Пропозицїєю має бути подано Забезпечення пропозиції на суму не мен</w:t>
      </w:r>
      <w:r>
        <w:rPr>
          <w:rFonts w:ascii="Arial" w:hAnsi="Arial" w:cs="Arial"/>
          <w:b/>
          <w:i/>
          <w:lang w:val="uk-UA"/>
        </w:rPr>
        <w:t>ь</w:t>
      </w:r>
      <w:r w:rsidRPr="00650119">
        <w:rPr>
          <w:rFonts w:ascii="Arial" w:hAnsi="Arial" w:cs="Arial"/>
          <w:b/>
          <w:i/>
          <w:lang w:val="uk-UA"/>
        </w:rPr>
        <w:t>ш</w:t>
      </w:r>
      <w:r>
        <w:rPr>
          <w:rFonts w:ascii="Arial" w:hAnsi="Arial" w:cs="Arial"/>
          <w:b/>
          <w:i/>
          <w:lang w:val="uk-UA"/>
        </w:rPr>
        <w:t>е</w:t>
      </w:r>
      <w:r w:rsidRPr="00650119">
        <w:rPr>
          <w:rFonts w:ascii="Arial" w:hAnsi="Arial" w:cs="Arial"/>
          <w:b/>
          <w:i/>
          <w:lang w:val="uk-UA"/>
        </w:rPr>
        <w:t xml:space="preserve"> ніж деся</w:t>
      </w:r>
      <w:r>
        <w:rPr>
          <w:rFonts w:ascii="Arial" w:hAnsi="Arial" w:cs="Arial"/>
          <w:b/>
          <w:i/>
          <w:lang w:val="uk-UA"/>
        </w:rPr>
        <w:t>ть</w:t>
      </w:r>
      <w:r w:rsidRPr="00650119">
        <w:rPr>
          <w:rFonts w:ascii="Arial" w:hAnsi="Arial" w:cs="Arial"/>
          <w:b/>
          <w:i/>
          <w:lang w:val="uk-UA"/>
        </w:rPr>
        <w:t xml:space="preserve"> (10) відсотків від загальної суми пропозиції в формі банківської гарантії від визнаної банківської установи.</w:t>
      </w:r>
    </w:p>
    <w:p w:rsidR="00B46701" w:rsidRDefault="00B46701" w:rsidP="00DB2DED">
      <w:pPr>
        <w:tabs>
          <w:tab w:val="left" w:pos="180"/>
          <w:tab w:val="left" w:pos="270"/>
          <w:tab w:val="left" w:pos="993"/>
        </w:tabs>
        <w:spacing w:after="0" w:line="240" w:lineRule="auto"/>
        <w:jc w:val="both"/>
        <w:rPr>
          <w:rFonts w:ascii="Arial" w:hAnsi="Arial" w:cs="Arial"/>
          <w:lang w:val="uk-UA"/>
        </w:rPr>
      </w:pPr>
    </w:p>
    <w:p w:rsidR="00FC3DB3" w:rsidRPr="00FC3DB3" w:rsidRDefault="00FC3DB3" w:rsidP="00DB2DED">
      <w:pPr>
        <w:tabs>
          <w:tab w:val="left" w:pos="180"/>
          <w:tab w:val="left" w:pos="270"/>
          <w:tab w:val="left" w:pos="993"/>
        </w:tabs>
        <w:spacing w:after="0" w:line="240" w:lineRule="auto"/>
        <w:jc w:val="both"/>
        <w:rPr>
          <w:rFonts w:ascii="Arial" w:hAnsi="Arial" w:cs="Arial"/>
          <w:lang w:val="uk-UA"/>
        </w:rPr>
      </w:pPr>
    </w:p>
    <w:p w:rsidR="00650119" w:rsidRPr="00B46701" w:rsidRDefault="00650119" w:rsidP="00DB2DED">
      <w:pPr>
        <w:tabs>
          <w:tab w:val="left" w:pos="180"/>
          <w:tab w:val="left" w:pos="270"/>
          <w:tab w:val="left" w:pos="993"/>
        </w:tabs>
        <w:spacing w:after="0" w:line="240" w:lineRule="auto"/>
        <w:jc w:val="both"/>
        <w:rPr>
          <w:rFonts w:ascii="Arial" w:hAnsi="Arial" w:cs="Arial"/>
          <w:lang w:val="uk-UA"/>
        </w:rPr>
      </w:pPr>
      <w:r w:rsidRPr="00B46701">
        <w:rPr>
          <w:rFonts w:ascii="Arial" w:hAnsi="Arial" w:cs="Arial"/>
          <w:lang w:val="uk-UA"/>
        </w:rPr>
        <w:t xml:space="preserve">10. </w:t>
      </w:r>
      <w:r w:rsidR="00B46701" w:rsidRPr="00B46701">
        <w:rPr>
          <w:rFonts w:ascii="Arial" w:hAnsi="Arial" w:cs="Arial"/>
          <w:lang w:val="uk-UA"/>
        </w:rPr>
        <w:t>Чи дозволяється надання тендерної пропозиції на українській/російській мові.</w:t>
      </w:r>
    </w:p>
    <w:p w:rsidR="00B46701" w:rsidRDefault="00B46701" w:rsidP="00DB2DED">
      <w:pPr>
        <w:tabs>
          <w:tab w:val="left" w:pos="180"/>
          <w:tab w:val="left" w:pos="270"/>
          <w:tab w:val="left" w:pos="993"/>
        </w:tabs>
        <w:spacing w:after="0" w:line="240" w:lineRule="auto"/>
        <w:jc w:val="both"/>
        <w:rPr>
          <w:rFonts w:ascii="Arial" w:hAnsi="Arial" w:cs="Arial"/>
          <w:lang w:val="en-US"/>
        </w:rPr>
      </w:pPr>
    </w:p>
    <w:p w:rsidR="000A387A" w:rsidRPr="000A387A" w:rsidRDefault="000A387A" w:rsidP="00DB2DED">
      <w:pPr>
        <w:tabs>
          <w:tab w:val="left" w:pos="180"/>
          <w:tab w:val="left" w:pos="270"/>
          <w:tab w:val="left" w:pos="993"/>
        </w:tabs>
        <w:spacing w:after="0" w:line="240" w:lineRule="auto"/>
        <w:jc w:val="both"/>
        <w:rPr>
          <w:rFonts w:ascii="Arial" w:hAnsi="Arial" w:cs="Arial"/>
          <w:b/>
          <w:i/>
          <w:lang w:val="uk-UA"/>
        </w:rPr>
      </w:pPr>
      <w:r>
        <w:rPr>
          <w:rFonts w:ascii="Arial" w:hAnsi="Arial" w:cs="Arial"/>
          <w:b/>
          <w:i/>
          <w:lang w:val="uk-UA"/>
        </w:rPr>
        <w:t>Відповідь: Пропозиція, а також вся кореспонденція та документи, пов</w:t>
      </w:r>
      <w:r w:rsidRPr="000A387A">
        <w:rPr>
          <w:rFonts w:ascii="Arial" w:hAnsi="Arial" w:cs="Arial"/>
          <w:b/>
          <w:i/>
        </w:rPr>
        <w:t>’</w:t>
      </w:r>
      <w:r>
        <w:rPr>
          <w:rFonts w:ascii="Arial" w:hAnsi="Arial" w:cs="Arial"/>
          <w:b/>
          <w:i/>
          <w:lang w:val="uk-UA"/>
        </w:rPr>
        <w:t xml:space="preserve">язані з пропозицією, між Учасником та МОМ, мають бути на англійській та/або українській мові. </w:t>
      </w:r>
    </w:p>
    <w:p w:rsidR="000A387A" w:rsidRPr="00FC3DB3" w:rsidRDefault="000A387A" w:rsidP="00DB2DED">
      <w:pPr>
        <w:tabs>
          <w:tab w:val="left" w:pos="180"/>
          <w:tab w:val="left" w:pos="270"/>
          <w:tab w:val="left" w:pos="993"/>
        </w:tabs>
        <w:spacing w:after="0" w:line="240" w:lineRule="auto"/>
        <w:jc w:val="both"/>
        <w:rPr>
          <w:rFonts w:ascii="Arial" w:hAnsi="Arial" w:cs="Arial"/>
          <w:b/>
          <w:i/>
          <w:lang w:val="uk-UA"/>
        </w:rPr>
      </w:pPr>
    </w:p>
    <w:p w:rsidR="00650119" w:rsidRPr="00B46701" w:rsidRDefault="00650119" w:rsidP="00DB2DED">
      <w:pPr>
        <w:tabs>
          <w:tab w:val="left" w:pos="180"/>
          <w:tab w:val="left" w:pos="270"/>
          <w:tab w:val="left" w:pos="993"/>
        </w:tabs>
        <w:spacing w:after="0" w:line="240" w:lineRule="auto"/>
        <w:jc w:val="both"/>
        <w:rPr>
          <w:rFonts w:ascii="Arial" w:hAnsi="Arial" w:cs="Arial"/>
          <w:lang w:val="uk-UA"/>
        </w:rPr>
      </w:pPr>
    </w:p>
    <w:p w:rsidR="00650119" w:rsidRPr="00506CF3" w:rsidRDefault="00B46701" w:rsidP="00DB2DED">
      <w:pPr>
        <w:tabs>
          <w:tab w:val="left" w:pos="180"/>
          <w:tab w:val="left" w:pos="270"/>
          <w:tab w:val="left" w:pos="993"/>
        </w:tabs>
        <w:spacing w:after="0" w:line="240" w:lineRule="auto"/>
        <w:jc w:val="both"/>
        <w:rPr>
          <w:rFonts w:ascii="Arial" w:hAnsi="Arial" w:cs="Arial"/>
        </w:rPr>
      </w:pPr>
      <w:r w:rsidRPr="00506CF3">
        <w:rPr>
          <w:rFonts w:ascii="Arial" w:hAnsi="Arial" w:cs="Arial"/>
        </w:rPr>
        <w:t xml:space="preserve">11. В </w:t>
      </w:r>
      <w:r w:rsidR="0002416B">
        <w:rPr>
          <w:rFonts w:ascii="Arial" w:hAnsi="Arial" w:cs="Arial"/>
          <w:lang w:val="uk-UA"/>
        </w:rPr>
        <w:t>якій валюті надати розрахунок тендерної пропозиції</w:t>
      </w:r>
      <w:r w:rsidR="000A387A" w:rsidRPr="00506CF3">
        <w:rPr>
          <w:rFonts w:ascii="Arial" w:hAnsi="Arial" w:cs="Arial"/>
        </w:rPr>
        <w:t>?</w:t>
      </w:r>
    </w:p>
    <w:p w:rsidR="00B46701" w:rsidRPr="00506CF3" w:rsidRDefault="00B46701" w:rsidP="00DB2DED">
      <w:pPr>
        <w:tabs>
          <w:tab w:val="left" w:pos="180"/>
          <w:tab w:val="left" w:pos="270"/>
          <w:tab w:val="left" w:pos="993"/>
        </w:tabs>
        <w:spacing w:after="0" w:line="240" w:lineRule="auto"/>
        <w:jc w:val="both"/>
        <w:rPr>
          <w:rFonts w:ascii="Arial" w:hAnsi="Arial" w:cs="Arial"/>
          <w:lang w:val="en-US"/>
        </w:rPr>
      </w:pPr>
    </w:p>
    <w:p w:rsidR="00650119" w:rsidRPr="00FC3DB3" w:rsidRDefault="00506CF3" w:rsidP="00DB2DED">
      <w:pPr>
        <w:tabs>
          <w:tab w:val="left" w:pos="180"/>
          <w:tab w:val="left" w:pos="270"/>
          <w:tab w:val="left" w:pos="993"/>
        </w:tabs>
        <w:spacing w:after="0" w:line="240" w:lineRule="auto"/>
        <w:jc w:val="both"/>
        <w:rPr>
          <w:rFonts w:ascii="Arial" w:hAnsi="Arial" w:cs="Arial"/>
          <w:b/>
          <w:i/>
          <w:lang w:val="uk-UA"/>
        </w:rPr>
      </w:pPr>
      <w:r w:rsidRPr="00506CF3">
        <w:rPr>
          <w:rFonts w:ascii="Arial" w:hAnsi="Arial" w:cs="Arial"/>
          <w:b/>
          <w:i/>
          <w:lang w:val="uk-UA"/>
        </w:rPr>
        <w:t>Відповідь: Ціни мають бути надані в доларах США. В разі, якщо буде обраний місцевий учасник, оплата буде здійснена за операційним обмінним курсом ООН на місяць оплати.</w:t>
      </w:r>
      <w:bookmarkStart w:id="8" w:name="_GoBack"/>
      <w:bookmarkEnd w:id="8"/>
    </w:p>
    <w:sectPr w:rsidR="00650119" w:rsidRPr="00FC3DB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B34E1"/>
    <w:multiLevelType w:val="hybridMultilevel"/>
    <w:tmpl w:val="355C5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5D27DE3"/>
    <w:multiLevelType w:val="multilevel"/>
    <w:tmpl w:val="0540E7F0"/>
    <w:lvl w:ilvl="0">
      <w:start w:val="17"/>
      <w:numFmt w:val="decimal"/>
      <w:lvlText w:val="%1"/>
      <w:lvlJc w:val="left"/>
      <w:pPr>
        <w:tabs>
          <w:tab w:val="num" w:pos="420"/>
        </w:tabs>
        <w:ind w:left="420" w:hanging="420"/>
      </w:pPr>
      <w:rPr>
        <w:rFonts w:hint="default"/>
        <w:i w:val="0"/>
        <w:color w:val="auto"/>
      </w:rPr>
    </w:lvl>
    <w:lvl w:ilvl="1">
      <w:start w:val="1"/>
      <w:numFmt w:val="decimal"/>
      <w:lvlText w:val="%1.%2"/>
      <w:lvlJc w:val="left"/>
      <w:pPr>
        <w:tabs>
          <w:tab w:val="num" w:pos="420"/>
        </w:tabs>
        <w:ind w:left="420" w:hanging="420"/>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440"/>
        </w:tabs>
        <w:ind w:left="1440" w:hanging="144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800"/>
        </w:tabs>
        <w:ind w:left="1800" w:hanging="1800"/>
      </w:pPr>
      <w:rPr>
        <w:rFonts w:hint="default"/>
        <w:i w:val="0"/>
        <w:color w:val="auto"/>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30E"/>
    <w:rsid w:val="0002416B"/>
    <w:rsid w:val="000A387A"/>
    <w:rsid w:val="000A6C0E"/>
    <w:rsid w:val="0029230E"/>
    <w:rsid w:val="003D2698"/>
    <w:rsid w:val="004A04BB"/>
    <w:rsid w:val="00506CF3"/>
    <w:rsid w:val="00636D31"/>
    <w:rsid w:val="00650119"/>
    <w:rsid w:val="006B2B9B"/>
    <w:rsid w:val="00802D1E"/>
    <w:rsid w:val="008A1C8B"/>
    <w:rsid w:val="008A7F05"/>
    <w:rsid w:val="0094475C"/>
    <w:rsid w:val="00956A76"/>
    <w:rsid w:val="009B44C4"/>
    <w:rsid w:val="00B46701"/>
    <w:rsid w:val="00B55AB5"/>
    <w:rsid w:val="00B9563F"/>
    <w:rsid w:val="00BD105B"/>
    <w:rsid w:val="00CA0833"/>
    <w:rsid w:val="00DB2DED"/>
    <w:rsid w:val="00FC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30E"/>
    <w:rPr>
      <w:rFonts w:ascii="Calibri" w:eastAsia="Times New Roman" w:hAnsi="Calibri" w:cs="Calibri"/>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D31"/>
    <w:pPr>
      <w:ind w:left="720"/>
      <w:contextualSpacing/>
    </w:pPr>
  </w:style>
  <w:style w:type="character" w:customStyle="1" w:styleId="pagesubtitle1">
    <w:name w:val="pagesubtitle1"/>
    <w:basedOn w:val="DefaultParagraphFont"/>
    <w:rsid w:val="00636D31"/>
    <w:rPr>
      <w:b w:val="0"/>
      <w:bCs w:val="0"/>
      <w:color w:val="999999"/>
    </w:rPr>
  </w:style>
  <w:style w:type="character" w:styleId="Hyperlink">
    <w:name w:val="Hyperlink"/>
    <w:basedOn w:val="DefaultParagraphFont"/>
    <w:uiPriority w:val="99"/>
    <w:semiHidden/>
    <w:unhideWhenUsed/>
    <w:rsid w:val="00636D31"/>
    <w:rPr>
      <w:color w:val="0563C1"/>
      <w:u w:val="single"/>
    </w:rPr>
  </w:style>
  <w:style w:type="character" w:styleId="FollowedHyperlink">
    <w:name w:val="FollowedHyperlink"/>
    <w:basedOn w:val="DefaultParagraphFont"/>
    <w:uiPriority w:val="99"/>
    <w:semiHidden/>
    <w:unhideWhenUsed/>
    <w:rsid w:val="008A7F05"/>
    <w:rPr>
      <w:color w:val="800080" w:themeColor="followedHyperlink"/>
      <w:u w:val="single"/>
    </w:rPr>
  </w:style>
  <w:style w:type="paragraph" w:customStyle="1" w:styleId="Head22">
    <w:name w:val="Head 2.2"/>
    <w:basedOn w:val="Normal"/>
    <w:rsid w:val="003D2698"/>
    <w:pPr>
      <w:tabs>
        <w:tab w:val="left" w:pos="360"/>
      </w:tabs>
      <w:suppressAutoHyphens/>
      <w:spacing w:after="0" w:line="240" w:lineRule="auto"/>
      <w:ind w:left="360" w:hanging="360"/>
      <w:jc w:val="both"/>
    </w:pPr>
    <w:rPr>
      <w:rFonts w:ascii="Times New Roman" w:hAnsi="Times New Roman" w:cs="Times New Roman"/>
      <w:b/>
      <w:sz w:val="24"/>
      <w:szCs w:val="20"/>
      <w:lang w:val="en-US" w:eastAsia="en-US"/>
    </w:rPr>
  </w:style>
  <w:style w:type="paragraph" w:styleId="PlainText">
    <w:name w:val="Plain Text"/>
    <w:basedOn w:val="Normal"/>
    <w:link w:val="PlainTextChar"/>
    <w:uiPriority w:val="99"/>
    <w:semiHidden/>
    <w:unhideWhenUsed/>
    <w:rsid w:val="00DB2DED"/>
    <w:pPr>
      <w:spacing w:after="0" w:line="240" w:lineRule="auto"/>
    </w:pPr>
    <w:rPr>
      <w:rFonts w:eastAsiaTheme="minorHAnsi" w:cstheme="minorBidi"/>
      <w:szCs w:val="21"/>
      <w:lang w:val="en-US" w:eastAsia="en-US"/>
    </w:rPr>
  </w:style>
  <w:style w:type="character" w:customStyle="1" w:styleId="PlainTextChar">
    <w:name w:val="Plain Text Char"/>
    <w:basedOn w:val="DefaultParagraphFont"/>
    <w:link w:val="PlainText"/>
    <w:uiPriority w:val="99"/>
    <w:semiHidden/>
    <w:rsid w:val="00DB2DED"/>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30E"/>
    <w:rPr>
      <w:rFonts w:ascii="Calibri" w:eastAsia="Times New Roman" w:hAnsi="Calibri" w:cs="Calibri"/>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D31"/>
    <w:pPr>
      <w:ind w:left="720"/>
      <w:contextualSpacing/>
    </w:pPr>
  </w:style>
  <w:style w:type="character" w:customStyle="1" w:styleId="pagesubtitle1">
    <w:name w:val="pagesubtitle1"/>
    <w:basedOn w:val="DefaultParagraphFont"/>
    <w:rsid w:val="00636D31"/>
    <w:rPr>
      <w:b w:val="0"/>
      <w:bCs w:val="0"/>
      <w:color w:val="999999"/>
    </w:rPr>
  </w:style>
  <w:style w:type="character" w:styleId="Hyperlink">
    <w:name w:val="Hyperlink"/>
    <w:basedOn w:val="DefaultParagraphFont"/>
    <w:uiPriority w:val="99"/>
    <w:semiHidden/>
    <w:unhideWhenUsed/>
    <w:rsid w:val="00636D31"/>
    <w:rPr>
      <w:color w:val="0563C1"/>
      <w:u w:val="single"/>
    </w:rPr>
  </w:style>
  <w:style w:type="character" w:styleId="FollowedHyperlink">
    <w:name w:val="FollowedHyperlink"/>
    <w:basedOn w:val="DefaultParagraphFont"/>
    <w:uiPriority w:val="99"/>
    <w:semiHidden/>
    <w:unhideWhenUsed/>
    <w:rsid w:val="008A7F05"/>
    <w:rPr>
      <w:color w:val="800080" w:themeColor="followedHyperlink"/>
      <w:u w:val="single"/>
    </w:rPr>
  </w:style>
  <w:style w:type="paragraph" w:customStyle="1" w:styleId="Head22">
    <w:name w:val="Head 2.2"/>
    <w:basedOn w:val="Normal"/>
    <w:rsid w:val="003D2698"/>
    <w:pPr>
      <w:tabs>
        <w:tab w:val="left" w:pos="360"/>
      </w:tabs>
      <w:suppressAutoHyphens/>
      <w:spacing w:after="0" w:line="240" w:lineRule="auto"/>
      <w:ind w:left="360" w:hanging="360"/>
      <w:jc w:val="both"/>
    </w:pPr>
    <w:rPr>
      <w:rFonts w:ascii="Times New Roman" w:hAnsi="Times New Roman" w:cs="Times New Roman"/>
      <w:b/>
      <w:sz w:val="24"/>
      <w:szCs w:val="20"/>
      <w:lang w:val="en-US" w:eastAsia="en-US"/>
    </w:rPr>
  </w:style>
  <w:style w:type="paragraph" w:styleId="PlainText">
    <w:name w:val="Plain Text"/>
    <w:basedOn w:val="Normal"/>
    <w:link w:val="PlainTextChar"/>
    <w:uiPriority w:val="99"/>
    <w:semiHidden/>
    <w:unhideWhenUsed/>
    <w:rsid w:val="00DB2DED"/>
    <w:pPr>
      <w:spacing w:after="0" w:line="240" w:lineRule="auto"/>
    </w:pPr>
    <w:rPr>
      <w:rFonts w:eastAsiaTheme="minorHAnsi" w:cstheme="minorBidi"/>
      <w:szCs w:val="21"/>
      <w:lang w:val="en-US" w:eastAsia="en-US"/>
    </w:rPr>
  </w:style>
  <w:style w:type="character" w:customStyle="1" w:styleId="PlainTextChar">
    <w:name w:val="Plain Text Char"/>
    <w:basedOn w:val="DefaultParagraphFont"/>
    <w:link w:val="PlainText"/>
    <w:uiPriority w:val="99"/>
    <w:semiHidden/>
    <w:rsid w:val="00DB2DE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0957">
      <w:bodyDiv w:val="1"/>
      <w:marLeft w:val="0"/>
      <w:marRight w:val="0"/>
      <w:marTop w:val="0"/>
      <w:marBottom w:val="0"/>
      <w:divBdr>
        <w:top w:val="none" w:sz="0" w:space="0" w:color="auto"/>
        <w:left w:val="none" w:sz="0" w:space="0" w:color="auto"/>
        <w:bottom w:val="none" w:sz="0" w:space="0" w:color="auto"/>
        <w:right w:val="none" w:sz="0" w:space="0" w:color="auto"/>
      </w:divBdr>
    </w:div>
    <w:div w:id="136655893">
      <w:bodyDiv w:val="1"/>
      <w:marLeft w:val="0"/>
      <w:marRight w:val="0"/>
      <w:marTop w:val="0"/>
      <w:marBottom w:val="0"/>
      <w:divBdr>
        <w:top w:val="none" w:sz="0" w:space="0" w:color="auto"/>
        <w:left w:val="none" w:sz="0" w:space="0" w:color="auto"/>
        <w:bottom w:val="none" w:sz="0" w:space="0" w:color="auto"/>
        <w:right w:val="none" w:sz="0" w:space="0" w:color="auto"/>
      </w:divBdr>
    </w:div>
    <w:div w:id="228343721">
      <w:bodyDiv w:val="1"/>
      <w:marLeft w:val="0"/>
      <w:marRight w:val="0"/>
      <w:marTop w:val="0"/>
      <w:marBottom w:val="0"/>
      <w:divBdr>
        <w:top w:val="none" w:sz="0" w:space="0" w:color="auto"/>
        <w:left w:val="none" w:sz="0" w:space="0" w:color="auto"/>
        <w:bottom w:val="none" w:sz="0" w:space="0" w:color="auto"/>
        <w:right w:val="none" w:sz="0" w:space="0" w:color="auto"/>
      </w:divBdr>
    </w:div>
    <w:div w:id="330640030">
      <w:bodyDiv w:val="1"/>
      <w:marLeft w:val="0"/>
      <w:marRight w:val="0"/>
      <w:marTop w:val="0"/>
      <w:marBottom w:val="0"/>
      <w:divBdr>
        <w:top w:val="none" w:sz="0" w:space="0" w:color="auto"/>
        <w:left w:val="none" w:sz="0" w:space="0" w:color="auto"/>
        <w:bottom w:val="none" w:sz="0" w:space="0" w:color="auto"/>
        <w:right w:val="none" w:sz="0" w:space="0" w:color="auto"/>
      </w:divBdr>
    </w:div>
    <w:div w:id="842738892">
      <w:bodyDiv w:val="1"/>
      <w:marLeft w:val="0"/>
      <w:marRight w:val="0"/>
      <w:marTop w:val="0"/>
      <w:marBottom w:val="0"/>
      <w:divBdr>
        <w:top w:val="none" w:sz="0" w:space="0" w:color="auto"/>
        <w:left w:val="none" w:sz="0" w:space="0" w:color="auto"/>
        <w:bottom w:val="none" w:sz="0" w:space="0" w:color="auto"/>
        <w:right w:val="none" w:sz="0" w:space="0" w:color="auto"/>
      </w:divBdr>
    </w:div>
    <w:div w:id="1094862458">
      <w:bodyDiv w:val="1"/>
      <w:marLeft w:val="0"/>
      <w:marRight w:val="0"/>
      <w:marTop w:val="0"/>
      <w:marBottom w:val="0"/>
      <w:divBdr>
        <w:top w:val="none" w:sz="0" w:space="0" w:color="auto"/>
        <w:left w:val="none" w:sz="0" w:space="0" w:color="auto"/>
        <w:bottom w:val="none" w:sz="0" w:space="0" w:color="auto"/>
        <w:right w:val="none" w:sz="0" w:space="0" w:color="auto"/>
      </w:divBdr>
    </w:div>
    <w:div w:id="1441683447">
      <w:bodyDiv w:val="1"/>
      <w:marLeft w:val="0"/>
      <w:marRight w:val="0"/>
      <w:marTop w:val="0"/>
      <w:marBottom w:val="0"/>
      <w:divBdr>
        <w:top w:val="none" w:sz="0" w:space="0" w:color="auto"/>
        <w:left w:val="none" w:sz="0" w:space="0" w:color="auto"/>
        <w:bottom w:val="none" w:sz="0" w:space="0" w:color="auto"/>
        <w:right w:val="none" w:sz="0" w:space="0" w:color="auto"/>
      </w:divBdr>
    </w:div>
    <w:div w:id="1569803104">
      <w:bodyDiv w:val="1"/>
      <w:marLeft w:val="0"/>
      <w:marRight w:val="0"/>
      <w:marTop w:val="0"/>
      <w:marBottom w:val="0"/>
      <w:divBdr>
        <w:top w:val="none" w:sz="0" w:space="0" w:color="auto"/>
        <w:left w:val="none" w:sz="0" w:space="0" w:color="auto"/>
        <w:bottom w:val="none" w:sz="0" w:space="0" w:color="auto"/>
        <w:right w:val="none" w:sz="0" w:space="0" w:color="auto"/>
      </w:divBdr>
    </w:div>
    <w:div w:id="1645087268">
      <w:bodyDiv w:val="1"/>
      <w:marLeft w:val="0"/>
      <w:marRight w:val="0"/>
      <w:marTop w:val="0"/>
      <w:marBottom w:val="0"/>
      <w:divBdr>
        <w:top w:val="none" w:sz="0" w:space="0" w:color="auto"/>
        <w:left w:val="none" w:sz="0" w:space="0" w:color="auto"/>
        <w:bottom w:val="none" w:sz="0" w:space="0" w:color="auto"/>
        <w:right w:val="none" w:sz="0" w:space="0" w:color="auto"/>
      </w:divBdr>
    </w:div>
    <w:div w:id="1706248009">
      <w:bodyDiv w:val="1"/>
      <w:marLeft w:val="0"/>
      <w:marRight w:val="0"/>
      <w:marTop w:val="0"/>
      <w:marBottom w:val="0"/>
      <w:divBdr>
        <w:top w:val="none" w:sz="0" w:space="0" w:color="auto"/>
        <w:left w:val="none" w:sz="0" w:space="0" w:color="auto"/>
        <w:bottom w:val="none" w:sz="0" w:space="0" w:color="auto"/>
        <w:right w:val="none" w:sz="0" w:space="0" w:color="auto"/>
      </w:divBdr>
    </w:div>
    <w:div w:id="193790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ocurement@euba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k.intel.com/ru/products/64593/Intel-Xeon-Processor-E5-2630-15M-Cache-2_30-GHz-7_20-GTs-Intel-QP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KUSHCHAK Sergiy</dc:creator>
  <cp:lastModifiedBy>KUSHCHAK Sergiy</cp:lastModifiedBy>
  <cp:revision>3</cp:revision>
  <dcterms:created xsi:type="dcterms:W3CDTF">2015-05-21T15:38:00Z</dcterms:created>
  <dcterms:modified xsi:type="dcterms:W3CDTF">2015-05-21T16:03:00Z</dcterms:modified>
</cp:coreProperties>
</file>